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C54" w:rsidRPr="00257C54" w:rsidRDefault="00257C54" w:rsidP="00257C54">
      <w:pPr>
        <w:rPr>
          <w:b/>
          <w:sz w:val="16"/>
          <w:szCs w:val="16"/>
        </w:rPr>
      </w:pPr>
    </w:p>
    <w:p w:rsidR="00257C54" w:rsidRPr="00455729" w:rsidRDefault="00257C54" w:rsidP="00257C54">
      <w:pPr>
        <w:jc w:val="both"/>
        <w:rPr>
          <w:b/>
          <w:sz w:val="28"/>
          <w:szCs w:val="28"/>
        </w:rPr>
      </w:pPr>
      <w:r w:rsidRPr="00455729">
        <w:rPr>
          <w:b/>
          <w:sz w:val="28"/>
          <w:szCs w:val="28"/>
        </w:rPr>
        <w:t>Hlavní cíle sjednocování principů klasifikace na GJKT:</w:t>
      </w:r>
    </w:p>
    <w:p w:rsidR="00257C54" w:rsidRPr="00455729" w:rsidRDefault="00257C54" w:rsidP="00257C54">
      <w:pPr>
        <w:pStyle w:val="Odstavecseseznamem"/>
        <w:numPr>
          <w:ilvl w:val="0"/>
          <w:numId w:val="4"/>
        </w:numPr>
        <w:spacing w:after="0" w:line="240" w:lineRule="auto"/>
        <w:rPr>
          <w:rFonts w:ascii="Times New Roman" w:hAnsi="Times New Roman" w:cs="Times New Roman"/>
        </w:rPr>
      </w:pPr>
      <w:r w:rsidRPr="00455729">
        <w:rPr>
          <w:rFonts w:ascii="Times New Roman" w:hAnsi="Times New Roman" w:cs="Times New Roman"/>
        </w:rPr>
        <w:t>posílit průběžné studijní úsilí žáků,</w:t>
      </w:r>
    </w:p>
    <w:p w:rsidR="00257C54" w:rsidRPr="00455729" w:rsidRDefault="00257C54" w:rsidP="00257C54">
      <w:pPr>
        <w:pStyle w:val="Odstavecseseznamem"/>
        <w:numPr>
          <w:ilvl w:val="0"/>
          <w:numId w:val="4"/>
        </w:numPr>
        <w:spacing w:after="0" w:line="240" w:lineRule="auto"/>
        <w:jc w:val="both"/>
        <w:rPr>
          <w:rFonts w:ascii="Times New Roman" w:hAnsi="Times New Roman" w:cs="Times New Roman"/>
        </w:rPr>
      </w:pPr>
      <w:r w:rsidRPr="00455729">
        <w:rPr>
          <w:rFonts w:ascii="Times New Roman" w:hAnsi="Times New Roman" w:cs="Times New Roman"/>
        </w:rPr>
        <w:t>zpřehlednit principy hodnocení a klasifikace v rámci školy,</w:t>
      </w:r>
    </w:p>
    <w:p w:rsidR="00257C54" w:rsidRPr="00455729" w:rsidRDefault="00257C54" w:rsidP="00257C54">
      <w:pPr>
        <w:pStyle w:val="Odstavecseseznamem"/>
        <w:numPr>
          <w:ilvl w:val="0"/>
          <w:numId w:val="4"/>
        </w:numPr>
        <w:spacing w:after="0" w:line="240" w:lineRule="auto"/>
        <w:jc w:val="both"/>
        <w:rPr>
          <w:rFonts w:ascii="Times New Roman" w:hAnsi="Times New Roman" w:cs="Times New Roman"/>
        </w:rPr>
      </w:pPr>
      <w:r w:rsidRPr="00455729">
        <w:rPr>
          <w:rFonts w:ascii="Times New Roman" w:hAnsi="Times New Roman" w:cs="Times New Roman"/>
        </w:rPr>
        <w:t>zajistit právo žáka na rovný přístup v hodnocení a klasifikaci,</w:t>
      </w:r>
    </w:p>
    <w:p w:rsidR="00257C54" w:rsidRPr="00455729" w:rsidRDefault="00257C54" w:rsidP="00257C54">
      <w:pPr>
        <w:pStyle w:val="Odstavecseseznamem"/>
        <w:numPr>
          <w:ilvl w:val="0"/>
          <w:numId w:val="4"/>
        </w:numPr>
        <w:spacing w:after="0" w:line="240" w:lineRule="auto"/>
        <w:jc w:val="both"/>
        <w:rPr>
          <w:rFonts w:ascii="Times New Roman" w:hAnsi="Times New Roman" w:cs="Times New Roman"/>
        </w:rPr>
      </w:pPr>
      <w:r w:rsidRPr="00455729">
        <w:rPr>
          <w:rFonts w:ascii="Times New Roman" w:hAnsi="Times New Roman" w:cs="Times New Roman"/>
        </w:rPr>
        <w:t>zajistit podklady pro lepší zpětnou vazbu při řízení pedagogického procesu,</w:t>
      </w:r>
    </w:p>
    <w:p w:rsidR="00257C54" w:rsidRPr="00455729" w:rsidRDefault="00257C54" w:rsidP="00257C54">
      <w:pPr>
        <w:pStyle w:val="Odstavecseseznamem"/>
        <w:numPr>
          <w:ilvl w:val="0"/>
          <w:numId w:val="4"/>
        </w:numPr>
        <w:spacing w:after="0" w:line="240" w:lineRule="auto"/>
        <w:jc w:val="both"/>
        <w:rPr>
          <w:rFonts w:ascii="Times New Roman" w:hAnsi="Times New Roman" w:cs="Times New Roman"/>
        </w:rPr>
      </w:pPr>
      <w:r w:rsidRPr="00455729">
        <w:rPr>
          <w:rFonts w:ascii="Times New Roman" w:hAnsi="Times New Roman" w:cs="Times New Roman"/>
        </w:rPr>
        <w:t>umožnit zavedení dálkově přístupné evidence hodnocení.</w:t>
      </w:r>
    </w:p>
    <w:p w:rsidR="00257C54" w:rsidRPr="00455729" w:rsidRDefault="00257C54" w:rsidP="00257C54">
      <w:pPr>
        <w:rPr>
          <w:b/>
          <w:sz w:val="16"/>
          <w:szCs w:val="16"/>
          <w:u w:val="single"/>
        </w:rPr>
      </w:pPr>
    </w:p>
    <w:p w:rsidR="00257C54" w:rsidRPr="00455729" w:rsidRDefault="001808A9" w:rsidP="00257C54">
      <w:pPr>
        <w:pStyle w:val="Odstavecseseznamem"/>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Formy hodnocení</w:t>
      </w:r>
    </w:p>
    <w:p w:rsidR="00257C54" w:rsidRPr="00455729" w:rsidRDefault="00257C54" w:rsidP="00257C54">
      <w:pPr>
        <w:ind w:left="360"/>
        <w:rPr>
          <w:b/>
          <w:sz w:val="20"/>
          <w:szCs w:val="20"/>
        </w:rPr>
      </w:pPr>
    </w:p>
    <w:tbl>
      <w:tblPr>
        <w:tblW w:w="10031" w:type="dxa"/>
        <w:tblLook w:val="01E0" w:firstRow="1" w:lastRow="1" w:firstColumn="1" w:lastColumn="1" w:noHBand="0" w:noVBand="0"/>
      </w:tblPr>
      <w:tblGrid>
        <w:gridCol w:w="2660"/>
        <w:gridCol w:w="7371"/>
      </w:tblGrid>
      <w:tr w:rsidR="00455729" w:rsidRPr="00455729" w:rsidTr="00AE32A3">
        <w:tc>
          <w:tcPr>
            <w:tcW w:w="2660" w:type="dxa"/>
            <w:tcBorders>
              <w:top w:val="single" w:sz="4" w:space="0" w:color="auto"/>
              <w:left w:val="single" w:sz="4" w:space="0" w:color="auto"/>
              <w:bottom w:val="single" w:sz="4" w:space="0" w:color="auto"/>
              <w:right w:val="single" w:sz="4" w:space="0" w:color="auto"/>
            </w:tcBorders>
          </w:tcPr>
          <w:p w:rsidR="00257C54" w:rsidRPr="00455729" w:rsidRDefault="00257C54" w:rsidP="00AE32A3">
            <w:pPr>
              <w:spacing w:line="276" w:lineRule="auto"/>
              <w:jc w:val="both"/>
              <w:rPr>
                <w:b/>
                <w:lang w:eastAsia="en-US"/>
              </w:rPr>
            </w:pPr>
            <w:r w:rsidRPr="00455729">
              <w:rPr>
                <w:b/>
                <w:sz w:val="22"/>
                <w:szCs w:val="22"/>
                <w:lang w:eastAsia="en-US"/>
              </w:rPr>
              <w:t>Forma hodnocení</w:t>
            </w:r>
          </w:p>
        </w:tc>
        <w:tc>
          <w:tcPr>
            <w:tcW w:w="7371" w:type="dxa"/>
            <w:tcBorders>
              <w:top w:val="single" w:sz="4" w:space="0" w:color="auto"/>
              <w:left w:val="single" w:sz="4" w:space="0" w:color="auto"/>
              <w:bottom w:val="single" w:sz="4" w:space="0" w:color="auto"/>
              <w:right w:val="single" w:sz="4" w:space="0" w:color="auto"/>
            </w:tcBorders>
          </w:tcPr>
          <w:p w:rsidR="00257C54" w:rsidRPr="00455729" w:rsidRDefault="00257C54" w:rsidP="00AE32A3">
            <w:pPr>
              <w:spacing w:line="276" w:lineRule="auto"/>
              <w:jc w:val="both"/>
              <w:rPr>
                <w:b/>
                <w:lang w:eastAsia="en-US"/>
              </w:rPr>
            </w:pPr>
            <w:r w:rsidRPr="00455729">
              <w:rPr>
                <w:b/>
                <w:sz w:val="22"/>
                <w:szCs w:val="22"/>
                <w:lang w:eastAsia="en-US"/>
              </w:rPr>
              <w:t>Obsah/popis (co si pod tím představit)</w:t>
            </w:r>
          </w:p>
        </w:tc>
      </w:tr>
      <w:tr w:rsidR="00455729" w:rsidRPr="00455729" w:rsidTr="00AE32A3">
        <w:tc>
          <w:tcPr>
            <w:tcW w:w="2660" w:type="dxa"/>
            <w:tcBorders>
              <w:top w:val="single" w:sz="4" w:space="0" w:color="auto"/>
              <w:left w:val="single" w:sz="4" w:space="0" w:color="auto"/>
              <w:bottom w:val="single" w:sz="4" w:space="0" w:color="auto"/>
              <w:right w:val="single" w:sz="4" w:space="0" w:color="auto"/>
            </w:tcBorders>
          </w:tcPr>
          <w:p w:rsidR="00257C54" w:rsidRPr="00455729" w:rsidRDefault="00257C54" w:rsidP="00AE32A3">
            <w:pPr>
              <w:spacing w:line="276" w:lineRule="auto"/>
              <w:jc w:val="both"/>
              <w:rPr>
                <w:lang w:eastAsia="en-US"/>
              </w:rPr>
            </w:pPr>
            <w:r w:rsidRPr="00455729">
              <w:rPr>
                <w:sz w:val="22"/>
                <w:szCs w:val="22"/>
                <w:lang w:eastAsia="en-US"/>
              </w:rPr>
              <w:t>Shrnující test</w:t>
            </w:r>
          </w:p>
        </w:tc>
        <w:tc>
          <w:tcPr>
            <w:tcW w:w="7371" w:type="dxa"/>
            <w:tcBorders>
              <w:top w:val="single" w:sz="4" w:space="0" w:color="auto"/>
              <w:left w:val="single" w:sz="4" w:space="0" w:color="auto"/>
              <w:bottom w:val="single" w:sz="4" w:space="0" w:color="auto"/>
              <w:right w:val="single" w:sz="4" w:space="0" w:color="auto"/>
            </w:tcBorders>
          </w:tcPr>
          <w:p w:rsidR="00257C54" w:rsidRPr="00455729" w:rsidRDefault="00257C54" w:rsidP="00AE32A3">
            <w:pPr>
              <w:spacing w:line="276" w:lineRule="auto"/>
              <w:jc w:val="both"/>
              <w:rPr>
                <w:lang w:eastAsia="en-US"/>
              </w:rPr>
            </w:pPr>
            <w:r w:rsidRPr="00455729">
              <w:rPr>
                <w:sz w:val="22"/>
                <w:szCs w:val="22"/>
                <w:lang w:eastAsia="en-US"/>
              </w:rPr>
              <w:t>Opakování většího celku učiva (ne nutně čtvrtletní nebo pololetní)</w:t>
            </w:r>
          </w:p>
        </w:tc>
      </w:tr>
      <w:tr w:rsidR="00455729" w:rsidRPr="00455729" w:rsidTr="00AE32A3">
        <w:tc>
          <w:tcPr>
            <w:tcW w:w="2660" w:type="dxa"/>
            <w:tcBorders>
              <w:top w:val="single" w:sz="4" w:space="0" w:color="auto"/>
              <w:left w:val="single" w:sz="4" w:space="0" w:color="auto"/>
              <w:bottom w:val="single" w:sz="4" w:space="0" w:color="auto"/>
              <w:right w:val="single" w:sz="4" w:space="0" w:color="auto"/>
            </w:tcBorders>
            <w:hideMark/>
          </w:tcPr>
          <w:p w:rsidR="00257C54" w:rsidRPr="00455729" w:rsidRDefault="00257C54" w:rsidP="00AE32A3">
            <w:pPr>
              <w:spacing w:line="276" w:lineRule="auto"/>
              <w:jc w:val="both"/>
              <w:rPr>
                <w:lang w:eastAsia="en-US"/>
              </w:rPr>
            </w:pPr>
            <w:r w:rsidRPr="00455729">
              <w:rPr>
                <w:sz w:val="22"/>
                <w:szCs w:val="22"/>
                <w:lang w:eastAsia="en-US"/>
              </w:rPr>
              <w:t>Písemné testy</w:t>
            </w:r>
          </w:p>
        </w:tc>
        <w:tc>
          <w:tcPr>
            <w:tcW w:w="7371" w:type="dxa"/>
            <w:tcBorders>
              <w:top w:val="single" w:sz="4" w:space="0" w:color="auto"/>
              <w:left w:val="single" w:sz="4" w:space="0" w:color="auto"/>
              <w:bottom w:val="single" w:sz="4" w:space="0" w:color="auto"/>
              <w:right w:val="single" w:sz="4" w:space="0" w:color="auto"/>
            </w:tcBorders>
          </w:tcPr>
          <w:p w:rsidR="00257C54" w:rsidRPr="00455729" w:rsidRDefault="00257C54" w:rsidP="00AE32A3">
            <w:pPr>
              <w:spacing w:line="276" w:lineRule="auto"/>
              <w:jc w:val="both"/>
              <w:rPr>
                <w:lang w:eastAsia="en-US"/>
              </w:rPr>
            </w:pPr>
            <w:r w:rsidRPr="00455729">
              <w:rPr>
                <w:sz w:val="22"/>
                <w:szCs w:val="22"/>
                <w:lang w:eastAsia="en-US"/>
              </w:rPr>
              <w:t>Běžné opakování dílčího bloku učiva</w:t>
            </w:r>
          </w:p>
        </w:tc>
      </w:tr>
      <w:tr w:rsidR="00455729" w:rsidRPr="00455729" w:rsidTr="00AE32A3">
        <w:tc>
          <w:tcPr>
            <w:tcW w:w="2660" w:type="dxa"/>
            <w:tcBorders>
              <w:top w:val="single" w:sz="4" w:space="0" w:color="auto"/>
              <w:left w:val="single" w:sz="4" w:space="0" w:color="auto"/>
              <w:bottom w:val="single" w:sz="4" w:space="0" w:color="auto"/>
              <w:right w:val="single" w:sz="4" w:space="0" w:color="auto"/>
            </w:tcBorders>
            <w:hideMark/>
          </w:tcPr>
          <w:p w:rsidR="00257C54" w:rsidRPr="00455729" w:rsidRDefault="00257C54" w:rsidP="00AE32A3">
            <w:pPr>
              <w:spacing w:line="276" w:lineRule="auto"/>
              <w:jc w:val="both"/>
              <w:rPr>
                <w:lang w:eastAsia="en-US"/>
              </w:rPr>
            </w:pPr>
            <w:r w:rsidRPr="00455729">
              <w:rPr>
                <w:sz w:val="22"/>
                <w:szCs w:val="22"/>
                <w:lang w:eastAsia="en-US"/>
              </w:rPr>
              <w:t>Domácí úkoly</w:t>
            </w:r>
          </w:p>
        </w:tc>
        <w:tc>
          <w:tcPr>
            <w:tcW w:w="7371" w:type="dxa"/>
            <w:tcBorders>
              <w:top w:val="single" w:sz="4" w:space="0" w:color="auto"/>
              <w:left w:val="single" w:sz="4" w:space="0" w:color="auto"/>
              <w:bottom w:val="single" w:sz="4" w:space="0" w:color="auto"/>
              <w:right w:val="single" w:sz="4" w:space="0" w:color="auto"/>
            </w:tcBorders>
          </w:tcPr>
          <w:p w:rsidR="00257C54" w:rsidRPr="00455729" w:rsidRDefault="00257C54" w:rsidP="00AE32A3">
            <w:pPr>
              <w:spacing w:line="276" w:lineRule="auto"/>
              <w:jc w:val="both"/>
              <w:rPr>
                <w:lang w:eastAsia="en-US"/>
              </w:rPr>
            </w:pPr>
            <w:r w:rsidRPr="00455729">
              <w:rPr>
                <w:sz w:val="22"/>
                <w:szCs w:val="22"/>
                <w:lang w:eastAsia="en-US"/>
              </w:rPr>
              <w:t>Mohou mít různou podobu, jejich zpracování nevyžaduje delší časovou přípravu, obvykle „z hodiny na hodinu“ (max. v rozmezí vyučovacího týdne)</w:t>
            </w:r>
          </w:p>
        </w:tc>
      </w:tr>
      <w:tr w:rsidR="00455729" w:rsidRPr="00455729" w:rsidTr="00AE32A3">
        <w:tc>
          <w:tcPr>
            <w:tcW w:w="2660" w:type="dxa"/>
            <w:tcBorders>
              <w:top w:val="single" w:sz="4" w:space="0" w:color="auto"/>
              <w:left w:val="single" w:sz="4" w:space="0" w:color="auto"/>
              <w:bottom w:val="single" w:sz="4" w:space="0" w:color="auto"/>
              <w:right w:val="single" w:sz="4" w:space="0" w:color="auto"/>
            </w:tcBorders>
            <w:hideMark/>
          </w:tcPr>
          <w:p w:rsidR="00257C54" w:rsidRPr="00455729" w:rsidRDefault="00257C54" w:rsidP="00AE32A3">
            <w:pPr>
              <w:spacing w:line="276" w:lineRule="auto"/>
              <w:jc w:val="both"/>
              <w:rPr>
                <w:lang w:eastAsia="en-US"/>
              </w:rPr>
            </w:pPr>
            <w:r w:rsidRPr="00455729">
              <w:rPr>
                <w:sz w:val="22"/>
                <w:szCs w:val="22"/>
                <w:lang w:eastAsia="en-US"/>
              </w:rPr>
              <w:t>Samostatná práce</w:t>
            </w:r>
          </w:p>
        </w:tc>
        <w:tc>
          <w:tcPr>
            <w:tcW w:w="7371" w:type="dxa"/>
            <w:tcBorders>
              <w:top w:val="single" w:sz="4" w:space="0" w:color="auto"/>
              <w:left w:val="single" w:sz="4" w:space="0" w:color="auto"/>
              <w:bottom w:val="single" w:sz="4" w:space="0" w:color="auto"/>
              <w:right w:val="single" w:sz="4" w:space="0" w:color="auto"/>
            </w:tcBorders>
          </w:tcPr>
          <w:p w:rsidR="00257C54" w:rsidRPr="00455729" w:rsidRDefault="00257C54" w:rsidP="00AE32A3">
            <w:pPr>
              <w:spacing w:line="276" w:lineRule="auto"/>
              <w:jc w:val="both"/>
              <w:rPr>
                <w:lang w:eastAsia="en-US"/>
              </w:rPr>
            </w:pPr>
            <w:r w:rsidRPr="00455729">
              <w:rPr>
                <w:sz w:val="22"/>
                <w:szCs w:val="22"/>
                <w:lang w:eastAsia="en-US"/>
              </w:rPr>
              <w:t xml:space="preserve">Její výstup vyžaduje rozsáhlejší a časově náročnější domácí přípravu (např. </w:t>
            </w:r>
            <w:r w:rsidRPr="00455729">
              <w:rPr>
                <w:i/>
                <w:sz w:val="22"/>
                <w:szCs w:val="22"/>
                <w:lang w:eastAsia="en-US"/>
              </w:rPr>
              <w:t xml:space="preserve">pololetní seminární práce, ročníková práce, prezentace podle pravidel ústního projevu, referát, zpracování náročnějšího pracovního listu, zpracování původního textu dle zadání a pravidel platných ve škole </w:t>
            </w:r>
            <w:r w:rsidRPr="00455729">
              <w:rPr>
                <w:sz w:val="22"/>
                <w:szCs w:val="22"/>
                <w:lang w:eastAsia="en-US"/>
              </w:rPr>
              <w:t>apod.)</w:t>
            </w:r>
          </w:p>
        </w:tc>
      </w:tr>
      <w:tr w:rsidR="00455729" w:rsidRPr="00455729" w:rsidTr="00AE32A3">
        <w:tc>
          <w:tcPr>
            <w:tcW w:w="2660" w:type="dxa"/>
            <w:tcBorders>
              <w:top w:val="single" w:sz="4" w:space="0" w:color="auto"/>
              <w:left w:val="single" w:sz="4" w:space="0" w:color="auto"/>
              <w:bottom w:val="single" w:sz="4" w:space="0" w:color="auto"/>
              <w:right w:val="single" w:sz="4" w:space="0" w:color="auto"/>
            </w:tcBorders>
          </w:tcPr>
          <w:p w:rsidR="00257C54" w:rsidRPr="00455729" w:rsidRDefault="00257C54" w:rsidP="00AE32A3">
            <w:pPr>
              <w:spacing w:line="276" w:lineRule="auto"/>
              <w:jc w:val="both"/>
              <w:rPr>
                <w:lang w:eastAsia="en-US"/>
              </w:rPr>
            </w:pPr>
            <w:r w:rsidRPr="00455729">
              <w:rPr>
                <w:sz w:val="22"/>
                <w:szCs w:val="22"/>
                <w:lang w:eastAsia="en-US"/>
              </w:rPr>
              <w:t>Práce v hodině</w:t>
            </w:r>
          </w:p>
        </w:tc>
        <w:tc>
          <w:tcPr>
            <w:tcW w:w="7371" w:type="dxa"/>
            <w:tcBorders>
              <w:top w:val="single" w:sz="4" w:space="0" w:color="auto"/>
              <w:left w:val="single" w:sz="4" w:space="0" w:color="auto"/>
              <w:bottom w:val="single" w:sz="4" w:space="0" w:color="auto"/>
              <w:right w:val="single" w:sz="4" w:space="0" w:color="auto"/>
            </w:tcBorders>
          </w:tcPr>
          <w:p w:rsidR="00257C54" w:rsidRPr="00455729" w:rsidRDefault="00257C54" w:rsidP="00AE32A3">
            <w:pPr>
              <w:spacing w:line="276" w:lineRule="auto"/>
              <w:jc w:val="both"/>
              <w:rPr>
                <w:lang w:eastAsia="en-US"/>
              </w:rPr>
            </w:pPr>
            <w:r w:rsidRPr="00455729">
              <w:rPr>
                <w:sz w:val="22"/>
                <w:szCs w:val="22"/>
                <w:lang w:eastAsia="en-US"/>
              </w:rPr>
              <w:t xml:space="preserve">Činnost během hodiny, která má hodnotitelný a také v dané hodině vyhodnocený výstup (např. </w:t>
            </w:r>
            <w:r w:rsidRPr="00455729">
              <w:rPr>
                <w:i/>
                <w:sz w:val="22"/>
                <w:szCs w:val="22"/>
                <w:lang w:eastAsia="en-US"/>
              </w:rPr>
              <w:t>ústní zkoušení,</w:t>
            </w:r>
            <w:r w:rsidRPr="00455729">
              <w:rPr>
                <w:sz w:val="22"/>
                <w:szCs w:val="22"/>
                <w:lang w:eastAsia="en-US"/>
              </w:rPr>
              <w:t xml:space="preserve"> </w:t>
            </w:r>
            <w:r w:rsidRPr="00455729">
              <w:rPr>
                <w:i/>
                <w:sz w:val="22"/>
                <w:szCs w:val="22"/>
                <w:lang w:eastAsia="en-US"/>
              </w:rPr>
              <w:t>pětiminutové/desetiminutové písemky</w:t>
            </w:r>
            <w:r w:rsidRPr="00455729">
              <w:rPr>
                <w:sz w:val="22"/>
                <w:szCs w:val="22"/>
                <w:lang w:eastAsia="en-US"/>
              </w:rPr>
              <w:t xml:space="preserve">, </w:t>
            </w:r>
            <w:r w:rsidRPr="00455729">
              <w:rPr>
                <w:i/>
                <w:sz w:val="22"/>
                <w:szCs w:val="22"/>
                <w:lang w:eastAsia="en-US"/>
              </w:rPr>
              <w:t>prezentace výsledků zpracovaného pracovního listu, hodnocený výtah z učebnice, prezentace výsledků skupinové práce</w:t>
            </w:r>
            <w:r w:rsidRPr="00455729">
              <w:rPr>
                <w:sz w:val="22"/>
                <w:szCs w:val="22"/>
                <w:lang w:eastAsia="en-US"/>
              </w:rPr>
              <w:t xml:space="preserve"> apod.)</w:t>
            </w:r>
          </w:p>
          <w:p w:rsidR="00257C54" w:rsidRPr="00455729" w:rsidRDefault="00257C54" w:rsidP="00AE32A3">
            <w:pPr>
              <w:jc w:val="both"/>
            </w:pPr>
            <w:r w:rsidRPr="00455729">
              <w:rPr>
                <w:sz w:val="22"/>
                <w:szCs w:val="22"/>
              </w:rPr>
              <w:t>Ústní zkoušení zařazujeme do formy práce v hodině, neboť je chápeme jako prověřování přípravy žáka a jeho osvojení si látky „z hodiny na hodinu“ (max. za uplynulý týden)</w:t>
            </w:r>
          </w:p>
        </w:tc>
      </w:tr>
      <w:tr w:rsidR="00257C54" w:rsidRPr="00455729" w:rsidTr="00AE32A3">
        <w:tc>
          <w:tcPr>
            <w:tcW w:w="2660" w:type="dxa"/>
            <w:tcBorders>
              <w:top w:val="single" w:sz="4" w:space="0" w:color="auto"/>
              <w:left w:val="single" w:sz="4" w:space="0" w:color="auto"/>
              <w:bottom w:val="single" w:sz="4" w:space="0" w:color="auto"/>
              <w:right w:val="single" w:sz="4" w:space="0" w:color="auto"/>
            </w:tcBorders>
            <w:hideMark/>
          </w:tcPr>
          <w:p w:rsidR="00257C54" w:rsidRPr="00455729" w:rsidRDefault="00257C54" w:rsidP="00AE32A3">
            <w:pPr>
              <w:spacing w:line="276" w:lineRule="auto"/>
              <w:jc w:val="both"/>
              <w:rPr>
                <w:lang w:eastAsia="en-US"/>
              </w:rPr>
            </w:pPr>
            <w:r w:rsidRPr="00455729">
              <w:rPr>
                <w:sz w:val="22"/>
                <w:szCs w:val="22"/>
                <w:lang w:eastAsia="en-US"/>
              </w:rPr>
              <w:t xml:space="preserve">Aktivita </w:t>
            </w:r>
          </w:p>
        </w:tc>
        <w:tc>
          <w:tcPr>
            <w:tcW w:w="7371" w:type="dxa"/>
            <w:tcBorders>
              <w:top w:val="single" w:sz="4" w:space="0" w:color="auto"/>
              <w:left w:val="single" w:sz="4" w:space="0" w:color="auto"/>
              <w:bottom w:val="single" w:sz="4" w:space="0" w:color="auto"/>
              <w:right w:val="single" w:sz="4" w:space="0" w:color="auto"/>
            </w:tcBorders>
          </w:tcPr>
          <w:p w:rsidR="00257C54" w:rsidRPr="00455729" w:rsidRDefault="00257C54" w:rsidP="00AE32A3">
            <w:pPr>
              <w:spacing w:line="276" w:lineRule="auto"/>
              <w:jc w:val="both"/>
              <w:rPr>
                <w:lang w:eastAsia="en-US"/>
              </w:rPr>
            </w:pPr>
            <w:r w:rsidRPr="00455729">
              <w:rPr>
                <w:sz w:val="22"/>
                <w:szCs w:val="22"/>
                <w:lang w:eastAsia="en-US"/>
              </w:rPr>
              <w:t xml:space="preserve">Aktivní účast na průběhu hodiny; nemá předem stanovený výstup, učitel ji hodnotí do jisté míry intuitivně, nicméně nahlas před žáky, ideálně v závěru hodiny (např. </w:t>
            </w:r>
            <w:r w:rsidRPr="00455729">
              <w:rPr>
                <w:i/>
                <w:sz w:val="22"/>
                <w:szCs w:val="22"/>
                <w:lang w:eastAsia="en-US"/>
              </w:rPr>
              <w:t xml:space="preserve">žák se aktivně hlásí a smysluplně odpovídá na dotazy učitele, žák sám klade smysluplné otázky k tématu, žák se dobrovolně ujímá činností nad rámec v hodině zadaných úkolů, výjimečně jde o kvalitně zpracovanou práci </w:t>
            </w:r>
            <w:r w:rsidRPr="00455729">
              <w:rPr>
                <w:sz w:val="22"/>
                <w:szCs w:val="22"/>
                <w:lang w:eastAsia="en-US"/>
              </w:rPr>
              <w:t xml:space="preserve">apod.). Procenta získaná za </w:t>
            </w:r>
            <w:r w:rsidRPr="00455729">
              <w:rPr>
                <w:i/>
                <w:sz w:val="22"/>
                <w:szCs w:val="22"/>
                <w:lang w:eastAsia="en-US"/>
              </w:rPr>
              <w:t>aktivitu</w:t>
            </w:r>
            <w:r w:rsidRPr="00455729">
              <w:rPr>
                <w:b/>
                <w:i/>
                <w:sz w:val="22"/>
                <w:szCs w:val="22"/>
                <w:lang w:eastAsia="en-US"/>
              </w:rPr>
              <w:t xml:space="preserve"> musí být zapisována do klasifikačního archu průběžně</w:t>
            </w:r>
            <w:r w:rsidRPr="00455729">
              <w:rPr>
                <w:i/>
                <w:sz w:val="22"/>
                <w:szCs w:val="22"/>
                <w:lang w:eastAsia="en-US"/>
              </w:rPr>
              <w:t xml:space="preserve">  </w:t>
            </w:r>
          </w:p>
        </w:tc>
      </w:tr>
    </w:tbl>
    <w:p w:rsidR="00257C54" w:rsidRPr="00455729" w:rsidRDefault="00257C54" w:rsidP="00257C54">
      <w:pPr>
        <w:rPr>
          <w:b/>
          <w:sz w:val="20"/>
          <w:szCs w:val="20"/>
        </w:rPr>
      </w:pPr>
    </w:p>
    <w:p w:rsidR="00257C54" w:rsidRPr="00455729" w:rsidRDefault="00257C54" w:rsidP="00257C54">
      <w:pPr>
        <w:pStyle w:val="Odstavecseseznamem"/>
        <w:numPr>
          <w:ilvl w:val="0"/>
          <w:numId w:val="1"/>
        </w:numPr>
        <w:spacing w:after="0" w:line="240" w:lineRule="auto"/>
        <w:jc w:val="both"/>
        <w:rPr>
          <w:rFonts w:ascii="Times New Roman" w:hAnsi="Times New Roman" w:cs="Times New Roman"/>
          <w:b/>
          <w:sz w:val="28"/>
          <w:szCs w:val="28"/>
        </w:rPr>
      </w:pPr>
      <w:r w:rsidRPr="00455729">
        <w:rPr>
          <w:rFonts w:ascii="Times New Roman" w:hAnsi="Times New Roman" w:cs="Times New Roman"/>
          <w:b/>
          <w:sz w:val="28"/>
          <w:szCs w:val="28"/>
        </w:rPr>
        <w:t xml:space="preserve">Četnost hodnocení za klasifikační období </w:t>
      </w:r>
    </w:p>
    <w:p w:rsidR="00257C54" w:rsidRPr="00455729" w:rsidRDefault="00257C54" w:rsidP="00257C54">
      <w:pPr>
        <w:pStyle w:val="Odstavecseseznamem"/>
        <w:numPr>
          <w:ilvl w:val="0"/>
          <w:numId w:val="2"/>
        </w:numPr>
        <w:spacing w:after="0" w:line="240" w:lineRule="auto"/>
        <w:ind w:left="709" w:hanging="283"/>
        <w:jc w:val="both"/>
        <w:rPr>
          <w:rFonts w:ascii="Times New Roman" w:hAnsi="Times New Roman" w:cs="Times New Roman"/>
        </w:rPr>
      </w:pPr>
      <w:r w:rsidRPr="00455729">
        <w:rPr>
          <w:rFonts w:ascii="Times New Roman" w:hAnsi="Times New Roman" w:cs="Times New Roman"/>
        </w:rPr>
        <w:t>Počet či rozpětí jednotlivých forem hodnocení se může lišit v jednotlivých předmětech, v jednotlivých ročnících i v jednotlivých pololetích s ohledem na obsah výuky v daném klasifikačním období. Musí se však pohybovat v mezích centrálně nastavených parametrů v tabulce hodnocení. Tabulka četnosti klasifikace:</w:t>
      </w:r>
    </w:p>
    <w:tbl>
      <w:tblPr>
        <w:tblW w:w="0" w:type="auto"/>
        <w:jc w:val="center"/>
        <w:tblLook w:val="01E0" w:firstRow="1" w:lastRow="1" w:firstColumn="1" w:lastColumn="1" w:noHBand="0" w:noVBand="0"/>
      </w:tblPr>
      <w:tblGrid>
        <w:gridCol w:w="2122"/>
        <w:gridCol w:w="1984"/>
      </w:tblGrid>
      <w:tr w:rsidR="00455729" w:rsidRPr="00455729" w:rsidTr="00AE32A3">
        <w:trPr>
          <w:trHeight w:val="2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257C54" w:rsidRPr="00455729" w:rsidRDefault="00257C54" w:rsidP="00AE32A3">
            <w:pPr>
              <w:jc w:val="center"/>
              <w:rPr>
                <w:b/>
                <w:lang w:eastAsia="en-US"/>
              </w:rPr>
            </w:pPr>
            <w:r w:rsidRPr="00455729">
              <w:rPr>
                <w:b/>
                <w:lang w:eastAsia="en-US"/>
              </w:rPr>
              <w:t>Shrnující test</w:t>
            </w:r>
          </w:p>
        </w:tc>
        <w:tc>
          <w:tcPr>
            <w:tcW w:w="1984" w:type="dxa"/>
            <w:tcBorders>
              <w:top w:val="single" w:sz="4" w:space="0" w:color="auto"/>
              <w:left w:val="single" w:sz="4" w:space="0" w:color="auto"/>
              <w:bottom w:val="single" w:sz="4" w:space="0" w:color="auto"/>
              <w:right w:val="single" w:sz="4" w:space="0" w:color="auto"/>
            </w:tcBorders>
            <w:vAlign w:val="center"/>
            <w:hideMark/>
          </w:tcPr>
          <w:p w:rsidR="00257C54" w:rsidRPr="00455729" w:rsidRDefault="00257C54" w:rsidP="00AE32A3">
            <w:pPr>
              <w:jc w:val="center"/>
              <w:rPr>
                <w:b/>
                <w:lang w:eastAsia="en-US"/>
              </w:rPr>
            </w:pPr>
            <w:r w:rsidRPr="00455729">
              <w:rPr>
                <w:b/>
                <w:lang w:eastAsia="en-US"/>
              </w:rPr>
              <w:t>0 - 2</w:t>
            </w:r>
          </w:p>
        </w:tc>
      </w:tr>
      <w:tr w:rsidR="00455729" w:rsidRPr="00455729" w:rsidTr="00AE32A3">
        <w:trPr>
          <w:trHeight w:val="2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257C54" w:rsidRPr="00455729" w:rsidRDefault="00257C54" w:rsidP="00AE32A3">
            <w:pPr>
              <w:jc w:val="center"/>
              <w:rPr>
                <w:b/>
                <w:lang w:eastAsia="en-US"/>
              </w:rPr>
            </w:pPr>
            <w:r w:rsidRPr="00455729">
              <w:rPr>
                <w:b/>
                <w:lang w:eastAsia="en-US"/>
              </w:rPr>
              <w:t>Písemné testy</w:t>
            </w:r>
          </w:p>
        </w:tc>
        <w:tc>
          <w:tcPr>
            <w:tcW w:w="1984" w:type="dxa"/>
            <w:tcBorders>
              <w:top w:val="single" w:sz="4" w:space="0" w:color="auto"/>
              <w:left w:val="single" w:sz="4" w:space="0" w:color="auto"/>
              <w:bottom w:val="single" w:sz="4" w:space="0" w:color="auto"/>
              <w:right w:val="single" w:sz="4" w:space="0" w:color="auto"/>
            </w:tcBorders>
            <w:vAlign w:val="center"/>
            <w:hideMark/>
          </w:tcPr>
          <w:p w:rsidR="00257C54" w:rsidRPr="00455729" w:rsidRDefault="005B414C" w:rsidP="00AE32A3">
            <w:pPr>
              <w:jc w:val="center"/>
              <w:rPr>
                <w:b/>
                <w:lang w:eastAsia="en-US"/>
              </w:rPr>
            </w:pPr>
            <w:r w:rsidRPr="00E55F58">
              <w:rPr>
                <w:b/>
                <w:lang w:eastAsia="en-US"/>
              </w:rPr>
              <w:t>2</w:t>
            </w:r>
            <w:r w:rsidR="00257C54" w:rsidRPr="00E55F58">
              <w:rPr>
                <w:b/>
                <w:lang w:eastAsia="en-US"/>
              </w:rPr>
              <w:t xml:space="preserve"> - 5</w:t>
            </w:r>
          </w:p>
        </w:tc>
      </w:tr>
      <w:tr w:rsidR="00455729" w:rsidRPr="00455729" w:rsidTr="00AE32A3">
        <w:trPr>
          <w:trHeight w:val="2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257C54" w:rsidRPr="00455729" w:rsidRDefault="00257C54" w:rsidP="00AE32A3">
            <w:pPr>
              <w:jc w:val="center"/>
              <w:rPr>
                <w:b/>
                <w:lang w:eastAsia="en-US"/>
              </w:rPr>
            </w:pPr>
            <w:r w:rsidRPr="00455729">
              <w:rPr>
                <w:b/>
                <w:lang w:eastAsia="en-US"/>
              </w:rPr>
              <w:t>Domácí úkoly</w:t>
            </w:r>
          </w:p>
        </w:tc>
        <w:tc>
          <w:tcPr>
            <w:tcW w:w="1984" w:type="dxa"/>
            <w:tcBorders>
              <w:top w:val="single" w:sz="4" w:space="0" w:color="auto"/>
              <w:left w:val="single" w:sz="4" w:space="0" w:color="auto"/>
              <w:bottom w:val="single" w:sz="4" w:space="0" w:color="auto"/>
              <w:right w:val="single" w:sz="4" w:space="0" w:color="auto"/>
            </w:tcBorders>
            <w:vAlign w:val="center"/>
            <w:hideMark/>
          </w:tcPr>
          <w:p w:rsidR="00257C54" w:rsidRPr="00455729" w:rsidRDefault="005B414C" w:rsidP="00AE32A3">
            <w:pPr>
              <w:jc w:val="center"/>
              <w:rPr>
                <w:b/>
                <w:lang w:eastAsia="en-US"/>
              </w:rPr>
            </w:pPr>
            <w:r w:rsidRPr="00E55F58">
              <w:rPr>
                <w:b/>
                <w:lang w:eastAsia="en-US"/>
              </w:rPr>
              <w:t>0 - x</w:t>
            </w:r>
          </w:p>
        </w:tc>
      </w:tr>
      <w:tr w:rsidR="00455729" w:rsidRPr="00455729" w:rsidTr="00AE32A3">
        <w:trPr>
          <w:trHeight w:val="2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257C54" w:rsidRPr="00455729" w:rsidRDefault="00257C54" w:rsidP="00AE32A3">
            <w:pPr>
              <w:jc w:val="center"/>
              <w:rPr>
                <w:b/>
                <w:lang w:eastAsia="en-US"/>
              </w:rPr>
            </w:pPr>
            <w:r w:rsidRPr="00455729">
              <w:rPr>
                <w:b/>
                <w:lang w:eastAsia="en-US"/>
              </w:rPr>
              <w:t>Samostatná práce</w:t>
            </w:r>
          </w:p>
        </w:tc>
        <w:tc>
          <w:tcPr>
            <w:tcW w:w="1984" w:type="dxa"/>
            <w:tcBorders>
              <w:top w:val="single" w:sz="4" w:space="0" w:color="auto"/>
              <w:left w:val="single" w:sz="4" w:space="0" w:color="auto"/>
              <w:bottom w:val="single" w:sz="4" w:space="0" w:color="auto"/>
              <w:right w:val="single" w:sz="4" w:space="0" w:color="auto"/>
            </w:tcBorders>
            <w:vAlign w:val="center"/>
            <w:hideMark/>
          </w:tcPr>
          <w:p w:rsidR="00257C54" w:rsidRPr="00455729" w:rsidRDefault="00257C54" w:rsidP="00AE32A3">
            <w:pPr>
              <w:jc w:val="center"/>
              <w:rPr>
                <w:b/>
                <w:lang w:eastAsia="en-US"/>
              </w:rPr>
            </w:pPr>
            <w:r w:rsidRPr="00455729">
              <w:rPr>
                <w:b/>
                <w:lang w:eastAsia="en-US"/>
              </w:rPr>
              <w:t>0 - 2</w:t>
            </w:r>
          </w:p>
        </w:tc>
      </w:tr>
      <w:tr w:rsidR="00455729" w:rsidRPr="00455729" w:rsidTr="00AE32A3">
        <w:trPr>
          <w:trHeight w:val="2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257C54" w:rsidRPr="00455729" w:rsidRDefault="00257C54" w:rsidP="00AE32A3">
            <w:pPr>
              <w:jc w:val="center"/>
              <w:rPr>
                <w:b/>
                <w:lang w:eastAsia="en-US"/>
              </w:rPr>
            </w:pPr>
            <w:r w:rsidRPr="00455729">
              <w:rPr>
                <w:b/>
                <w:lang w:eastAsia="en-US"/>
              </w:rPr>
              <w:t>Práce v hodině</w:t>
            </w:r>
          </w:p>
        </w:tc>
        <w:tc>
          <w:tcPr>
            <w:tcW w:w="1984" w:type="dxa"/>
            <w:tcBorders>
              <w:top w:val="single" w:sz="4" w:space="0" w:color="auto"/>
              <w:left w:val="single" w:sz="4" w:space="0" w:color="auto"/>
              <w:bottom w:val="single" w:sz="4" w:space="0" w:color="auto"/>
              <w:right w:val="single" w:sz="4" w:space="0" w:color="auto"/>
            </w:tcBorders>
            <w:vAlign w:val="center"/>
            <w:hideMark/>
          </w:tcPr>
          <w:p w:rsidR="00257C54" w:rsidRPr="00455729" w:rsidRDefault="00257C54" w:rsidP="00AE32A3">
            <w:pPr>
              <w:jc w:val="center"/>
              <w:rPr>
                <w:b/>
                <w:lang w:eastAsia="en-US"/>
              </w:rPr>
            </w:pPr>
            <w:r w:rsidRPr="00455729">
              <w:rPr>
                <w:b/>
                <w:lang w:eastAsia="en-US"/>
              </w:rPr>
              <w:t>min. x</w:t>
            </w:r>
          </w:p>
        </w:tc>
      </w:tr>
      <w:tr w:rsidR="00455729" w:rsidRPr="00455729" w:rsidTr="00AE32A3">
        <w:trPr>
          <w:trHeight w:val="2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257C54" w:rsidRPr="00455729" w:rsidRDefault="00257C54" w:rsidP="00AE32A3">
            <w:pPr>
              <w:jc w:val="center"/>
              <w:rPr>
                <w:b/>
                <w:lang w:eastAsia="en-US"/>
              </w:rPr>
            </w:pPr>
            <w:r w:rsidRPr="00455729">
              <w:rPr>
                <w:b/>
                <w:lang w:eastAsia="en-US"/>
              </w:rPr>
              <w:t>Aktivita</w:t>
            </w:r>
          </w:p>
        </w:tc>
        <w:tc>
          <w:tcPr>
            <w:tcW w:w="1984" w:type="dxa"/>
            <w:tcBorders>
              <w:top w:val="single" w:sz="4" w:space="0" w:color="auto"/>
              <w:left w:val="single" w:sz="4" w:space="0" w:color="auto"/>
              <w:bottom w:val="single" w:sz="4" w:space="0" w:color="auto"/>
              <w:right w:val="single" w:sz="4" w:space="0" w:color="auto"/>
            </w:tcBorders>
            <w:vAlign w:val="center"/>
            <w:hideMark/>
          </w:tcPr>
          <w:p w:rsidR="00257C54" w:rsidRPr="00455729" w:rsidRDefault="00257C54" w:rsidP="00AE32A3">
            <w:pPr>
              <w:jc w:val="center"/>
              <w:rPr>
                <w:b/>
                <w:lang w:eastAsia="en-US"/>
              </w:rPr>
            </w:pPr>
            <w:r w:rsidRPr="00455729">
              <w:rPr>
                <w:b/>
                <w:lang w:eastAsia="en-US"/>
              </w:rPr>
              <w:t>max. +/- 5 %</w:t>
            </w:r>
          </w:p>
        </w:tc>
      </w:tr>
    </w:tbl>
    <w:p w:rsidR="005B414C" w:rsidRPr="00E55F58" w:rsidRDefault="005B414C" w:rsidP="00257C54">
      <w:pPr>
        <w:pStyle w:val="Odstavecseseznamem"/>
        <w:numPr>
          <w:ilvl w:val="0"/>
          <w:numId w:val="2"/>
        </w:numPr>
        <w:spacing w:after="0" w:line="240" w:lineRule="auto"/>
        <w:ind w:left="709" w:hanging="283"/>
        <w:jc w:val="both"/>
        <w:rPr>
          <w:rFonts w:ascii="Times New Roman" w:hAnsi="Times New Roman" w:cs="Times New Roman"/>
        </w:rPr>
      </w:pPr>
      <w:r w:rsidRPr="00E55F58">
        <w:rPr>
          <w:rFonts w:ascii="Times New Roman" w:hAnsi="Times New Roman" w:cs="Times New Roman"/>
        </w:rPr>
        <w:t xml:space="preserve">V každém klasifikačním období musí žák získat nejméně 5 klasifikačních podkladů, rozložených do minimálně 3 </w:t>
      </w:r>
      <w:r w:rsidR="00E55F58" w:rsidRPr="00E55F58">
        <w:rPr>
          <w:rFonts w:ascii="Times New Roman" w:hAnsi="Times New Roman" w:cs="Times New Roman"/>
        </w:rPr>
        <w:t xml:space="preserve">různých </w:t>
      </w:r>
      <w:r w:rsidRPr="00E55F58">
        <w:rPr>
          <w:rFonts w:ascii="Times New Roman" w:hAnsi="Times New Roman" w:cs="Times New Roman"/>
        </w:rPr>
        <w:t>forem hodnocení.</w:t>
      </w:r>
    </w:p>
    <w:p w:rsidR="00257C54" w:rsidRPr="00455729" w:rsidRDefault="00257C54" w:rsidP="00257C54">
      <w:pPr>
        <w:pStyle w:val="Odstavecseseznamem"/>
        <w:numPr>
          <w:ilvl w:val="0"/>
          <w:numId w:val="2"/>
        </w:numPr>
        <w:spacing w:after="0" w:line="240" w:lineRule="auto"/>
        <w:ind w:left="709" w:hanging="283"/>
        <w:jc w:val="both"/>
        <w:rPr>
          <w:rFonts w:ascii="Times New Roman" w:hAnsi="Times New Roman" w:cs="Times New Roman"/>
        </w:rPr>
      </w:pPr>
      <w:r w:rsidRPr="00455729">
        <w:rPr>
          <w:rFonts w:ascii="Times New Roman" w:hAnsi="Times New Roman" w:cs="Times New Roman"/>
        </w:rPr>
        <w:lastRenderedPageBreak/>
        <w:t xml:space="preserve">U </w:t>
      </w:r>
      <w:r w:rsidRPr="00D85B70">
        <w:rPr>
          <w:rFonts w:ascii="Times New Roman" w:hAnsi="Times New Roman" w:cs="Times New Roman"/>
        </w:rPr>
        <w:t>domácích úkolů</w:t>
      </w:r>
      <w:r w:rsidR="00D85B70" w:rsidRPr="00D85B70">
        <w:rPr>
          <w:rFonts w:ascii="Times New Roman" w:hAnsi="Times New Roman" w:cs="Times New Roman"/>
        </w:rPr>
        <w:t xml:space="preserve"> </w:t>
      </w:r>
      <w:r w:rsidR="00D85B70" w:rsidRPr="00E55F58">
        <w:rPr>
          <w:rFonts w:ascii="Times New Roman" w:hAnsi="Times New Roman" w:cs="Times New Roman"/>
        </w:rPr>
        <w:t>(v případě jejich zařazení mezi klasifikační podklady)</w:t>
      </w:r>
      <w:r w:rsidRPr="00E55F58">
        <w:rPr>
          <w:rFonts w:ascii="Times New Roman" w:hAnsi="Times New Roman" w:cs="Times New Roman"/>
        </w:rPr>
        <w:t xml:space="preserve"> </w:t>
      </w:r>
      <w:r w:rsidRPr="00D85B70">
        <w:rPr>
          <w:rFonts w:ascii="Times New Roman" w:hAnsi="Times New Roman" w:cs="Times New Roman"/>
        </w:rPr>
        <w:t>a</w:t>
      </w:r>
      <w:r w:rsidRPr="00455729">
        <w:rPr>
          <w:rFonts w:ascii="Times New Roman" w:hAnsi="Times New Roman" w:cs="Times New Roman"/>
        </w:rPr>
        <w:t xml:space="preserve"> práce v hodině stanoví každá PK minimální počet možností hodnocení, který bude každý člen PK garantovat. Formy mohou být různorodé s ohledem na potřeby pedagoga (např. </w:t>
      </w:r>
      <w:r w:rsidRPr="00455729">
        <w:rPr>
          <w:rFonts w:ascii="Times New Roman" w:hAnsi="Times New Roman" w:cs="Times New Roman"/>
          <w:i/>
        </w:rPr>
        <w:t>práce v hodině = ústní zkoušení + pětiminutové písemky + prezentace pracovního listu</w:t>
      </w:r>
      <w:r w:rsidRPr="00455729">
        <w:rPr>
          <w:rFonts w:ascii="Times New Roman" w:hAnsi="Times New Roman" w:cs="Times New Roman"/>
        </w:rPr>
        <w:t xml:space="preserve">). </w:t>
      </w:r>
    </w:p>
    <w:p w:rsidR="00257C54" w:rsidRPr="00455729" w:rsidRDefault="00257C54" w:rsidP="00257C54">
      <w:pPr>
        <w:pStyle w:val="Odstavecseseznamem"/>
        <w:numPr>
          <w:ilvl w:val="0"/>
          <w:numId w:val="2"/>
        </w:numPr>
        <w:spacing w:after="0" w:line="240" w:lineRule="auto"/>
        <w:ind w:left="709" w:hanging="283"/>
        <w:jc w:val="both"/>
        <w:rPr>
          <w:rFonts w:ascii="Times New Roman" w:hAnsi="Times New Roman" w:cs="Times New Roman"/>
        </w:rPr>
      </w:pPr>
      <w:r w:rsidRPr="00455729">
        <w:rPr>
          <w:rFonts w:ascii="Times New Roman" w:hAnsi="Times New Roman" w:cs="Times New Roman"/>
        </w:rPr>
        <w:t>Aktivita, vyjádřená v procentních bodech se pohybuje v rozmezí +/- 5 % v klasifikačním období (viz tabulka). Je stanovena centrálně.</w:t>
      </w:r>
    </w:p>
    <w:p w:rsidR="00257C54" w:rsidRPr="00455729" w:rsidRDefault="00257C54" w:rsidP="00257C54">
      <w:pPr>
        <w:pStyle w:val="Odstavecseseznamem"/>
        <w:numPr>
          <w:ilvl w:val="0"/>
          <w:numId w:val="2"/>
        </w:numPr>
        <w:spacing w:after="0" w:line="240" w:lineRule="auto"/>
        <w:ind w:left="709" w:hanging="283"/>
        <w:jc w:val="both"/>
        <w:rPr>
          <w:rFonts w:ascii="Times New Roman" w:hAnsi="Times New Roman" w:cs="Times New Roman"/>
        </w:rPr>
      </w:pPr>
      <w:r w:rsidRPr="00455729">
        <w:rPr>
          <w:rFonts w:ascii="Times New Roman" w:hAnsi="Times New Roman" w:cs="Times New Roman"/>
        </w:rPr>
        <w:t xml:space="preserve">Všechny dílčí klasifikační podklady jsou do klasifikačního archu zaznamenávány průběžně </w:t>
      </w:r>
      <w:r w:rsidRPr="00455729">
        <w:rPr>
          <w:rFonts w:ascii="Times New Roman" w:hAnsi="Times New Roman" w:cs="Times New Roman"/>
        </w:rPr>
        <w:br/>
        <w:t>a nezaokrouhlují se, stejně jako se neokrouhlí celkové skóre.</w:t>
      </w:r>
    </w:p>
    <w:p w:rsidR="00257C54" w:rsidRPr="00455729" w:rsidRDefault="00257C54" w:rsidP="00257C54">
      <w:pPr>
        <w:rPr>
          <w:sz w:val="20"/>
          <w:szCs w:val="20"/>
        </w:rPr>
      </w:pPr>
    </w:p>
    <w:p w:rsidR="00257C54" w:rsidRPr="00455729" w:rsidRDefault="001808A9" w:rsidP="00257C54">
      <w:pPr>
        <w:pStyle w:val="Odstavecseseznamem"/>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Váha klasifikačních forem</w:t>
      </w:r>
      <w:r w:rsidR="00257C54" w:rsidRPr="00455729">
        <w:rPr>
          <w:rFonts w:ascii="Times New Roman" w:hAnsi="Times New Roman" w:cs="Times New Roman"/>
          <w:b/>
          <w:sz w:val="28"/>
          <w:szCs w:val="28"/>
        </w:rPr>
        <w:t xml:space="preserve"> </w:t>
      </w:r>
    </w:p>
    <w:p w:rsidR="00257C54" w:rsidRPr="00455729" w:rsidRDefault="00257C54" w:rsidP="00257C54">
      <w:pPr>
        <w:pStyle w:val="Odstavecseseznamem"/>
        <w:numPr>
          <w:ilvl w:val="0"/>
          <w:numId w:val="2"/>
        </w:numPr>
        <w:spacing w:after="0" w:line="240" w:lineRule="auto"/>
        <w:ind w:left="709" w:hanging="283"/>
        <w:jc w:val="both"/>
        <w:rPr>
          <w:rFonts w:ascii="Times New Roman" w:hAnsi="Times New Roman" w:cs="Times New Roman"/>
        </w:rPr>
      </w:pPr>
      <w:r w:rsidRPr="00455729">
        <w:rPr>
          <w:rFonts w:ascii="Times New Roman" w:hAnsi="Times New Roman" w:cs="Times New Roman"/>
        </w:rPr>
        <w:t xml:space="preserve">Váha hodnocení odráží objem a obsah hodnocených znalostí, dovedností a postojů </w:t>
      </w:r>
      <w:r w:rsidRPr="00455729">
        <w:rPr>
          <w:rFonts w:ascii="Times New Roman" w:hAnsi="Times New Roman" w:cs="Times New Roman"/>
        </w:rPr>
        <w:br/>
        <w:t xml:space="preserve">(viz </w:t>
      </w:r>
      <w:proofErr w:type="spellStart"/>
      <w:r w:rsidRPr="00455729">
        <w:rPr>
          <w:rFonts w:ascii="Times New Roman" w:hAnsi="Times New Roman" w:cs="Times New Roman"/>
        </w:rPr>
        <w:t>Bloomova</w:t>
      </w:r>
      <w:proofErr w:type="spellEnd"/>
      <w:r w:rsidRPr="00455729">
        <w:rPr>
          <w:rFonts w:ascii="Times New Roman" w:hAnsi="Times New Roman" w:cs="Times New Roman"/>
        </w:rPr>
        <w:t xml:space="preserve"> taxonomie výukových cílů).</w:t>
      </w:r>
    </w:p>
    <w:p w:rsidR="00257C54" w:rsidRPr="00455729" w:rsidRDefault="00257C54" w:rsidP="00257C54">
      <w:pPr>
        <w:pStyle w:val="Odstavecseseznamem"/>
        <w:numPr>
          <w:ilvl w:val="0"/>
          <w:numId w:val="2"/>
        </w:numPr>
        <w:spacing w:after="0" w:line="240" w:lineRule="auto"/>
        <w:ind w:left="709" w:hanging="283"/>
        <w:jc w:val="both"/>
        <w:rPr>
          <w:rFonts w:ascii="Times New Roman" w:hAnsi="Times New Roman" w:cs="Times New Roman"/>
        </w:rPr>
      </w:pPr>
      <w:r w:rsidRPr="00455729">
        <w:rPr>
          <w:rFonts w:ascii="Times New Roman" w:hAnsi="Times New Roman" w:cs="Times New Roman"/>
        </w:rPr>
        <w:t>Váha jednotlivých klasifikačních forem se nastavuje v procentech (celek za všechny použité formy = 100 %) a nastavuje ji závazně PK před začátkem klasifikačního období.</w:t>
      </w:r>
    </w:p>
    <w:p w:rsidR="00257C54" w:rsidRPr="00455729" w:rsidRDefault="00257C54" w:rsidP="00257C54">
      <w:pPr>
        <w:rPr>
          <w:sz w:val="20"/>
          <w:szCs w:val="20"/>
        </w:rPr>
      </w:pPr>
    </w:p>
    <w:p w:rsidR="005B414C" w:rsidRDefault="00257C54" w:rsidP="00257C54">
      <w:pPr>
        <w:pStyle w:val="Odstavecseseznamem"/>
        <w:numPr>
          <w:ilvl w:val="0"/>
          <w:numId w:val="1"/>
        </w:numPr>
        <w:spacing w:after="120" w:line="240" w:lineRule="auto"/>
        <w:jc w:val="both"/>
        <w:rPr>
          <w:rFonts w:ascii="Times New Roman" w:hAnsi="Times New Roman" w:cs="Times New Roman"/>
          <w:b/>
          <w:sz w:val="28"/>
          <w:szCs w:val="28"/>
        </w:rPr>
      </w:pPr>
      <w:r w:rsidRPr="00455729">
        <w:rPr>
          <w:rFonts w:ascii="Times New Roman" w:hAnsi="Times New Roman" w:cs="Times New Roman"/>
          <w:b/>
          <w:sz w:val="28"/>
          <w:szCs w:val="28"/>
        </w:rPr>
        <w:t xml:space="preserve">Výpočet celkového prospěchu v procentech (%) a převod procent (%) </w:t>
      </w:r>
    </w:p>
    <w:p w:rsidR="00257C54" w:rsidRPr="005B414C" w:rsidRDefault="00257C54" w:rsidP="005B414C">
      <w:pPr>
        <w:pStyle w:val="Odstavecseseznamem"/>
        <w:spacing w:after="120" w:line="240" w:lineRule="auto"/>
        <w:jc w:val="both"/>
        <w:rPr>
          <w:rFonts w:ascii="Times New Roman" w:hAnsi="Times New Roman" w:cs="Times New Roman"/>
          <w:b/>
          <w:sz w:val="28"/>
          <w:szCs w:val="28"/>
        </w:rPr>
      </w:pPr>
      <w:r w:rsidRPr="00455729">
        <w:rPr>
          <w:rFonts w:ascii="Times New Roman" w:hAnsi="Times New Roman" w:cs="Times New Roman"/>
          <w:b/>
          <w:sz w:val="28"/>
          <w:szCs w:val="28"/>
        </w:rPr>
        <w:t xml:space="preserve">na známky </w:t>
      </w:r>
      <w:r w:rsidR="001808A9">
        <w:rPr>
          <w:rFonts w:ascii="Times New Roman" w:hAnsi="Times New Roman" w:cs="Times New Roman"/>
          <w:b/>
          <w:sz w:val="28"/>
          <w:szCs w:val="28"/>
        </w:rPr>
        <w:t>v klasifikačním období</w:t>
      </w:r>
    </w:p>
    <w:p w:rsidR="00257C54" w:rsidRPr="00455729" w:rsidRDefault="00257C54" w:rsidP="00257C54">
      <w:pPr>
        <w:pStyle w:val="Odstavecseseznamem"/>
        <w:numPr>
          <w:ilvl w:val="0"/>
          <w:numId w:val="3"/>
        </w:numPr>
        <w:spacing w:after="120" w:line="240" w:lineRule="auto"/>
        <w:ind w:left="709" w:hanging="283"/>
        <w:jc w:val="both"/>
        <w:rPr>
          <w:rFonts w:ascii="Times New Roman" w:hAnsi="Times New Roman" w:cs="Times New Roman"/>
          <w:b/>
        </w:rPr>
      </w:pPr>
      <w:r w:rsidRPr="00455729">
        <w:rPr>
          <w:rFonts w:ascii="Times New Roman" w:hAnsi="Times New Roman" w:cs="Times New Roman"/>
        </w:rPr>
        <w:t>Je jednotný pro všechny celou školu. Tabulka převodu % na známky v klasifikačním období:</w:t>
      </w:r>
    </w:p>
    <w:tbl>
      <w:tblPr>
        <w:tblW w:w="0" w:type="auto"/>
        <w:jc w:val="center"/>
        <w:tblLook w:val="01E0" w:firstRow="1" w:lastRow="1" w:firstColumn="1" w:lastColumn="1" w:noHBand="0" w:noVBand="0"/>
      </w:tblPr>
      <w:tblGrid>
        <w:gridCol w:w="3256"/>
        <w:gridCol w:w="2307"/>
      </w:tblGrid>
      <w:tr w:rsidR="00455729" w:rsidRPr="00455729" w:rsidTr="00AE32A3">
        <w:trPr>
          <w:trHeight w:val="20"/>
          <w:jc w:val="center"/>
        </w:trPr>
        <w:tc>
          <w:tcPr>
            <w:tcW w:w="5563" w:type="dxa"/>
            <w:gridSpan w:val="2"/>
            <w:tcBorders>
              <w:top w:val="single" w:sz="4" w:space="0" w:color="auto"/>
              <w:left w:val="single" w:sz="4" w:space="0" w:color="auto"/>
              <w:bottom w:val="single" w:sz="4" w:space="0" w:color="auto"/>
              <w:right w:val="single" w:sz="4" w:space="0" w:color="auto"/>
            </w:tcBorders>
            <w:hideMark/>
          </w:tcPr>
          <w:p w:rsidR="00257C54" w:rsidRPr="00455729" w:rsidRDefault="00257C54" w:rsidP="00AE32A3">
            <w:pPr>
              <w:jc w:val="center"/>
              <w:rPr>
                <w:b/>
                <w:lang w:eastAsia="en-US"/>
              </w:rPr>
            </w:pPr>
            <w:r w:rsidRPr="00455729">
              <w:rPr>
                <w:b/>
                <w:lang w:eastAsia="en-US"/>
              </w:rPr>
              <w:t>Převod %bodů na známky na vysvědčení</w:t>
            </w:r>
          </w:p>
        </w:tc>
      </w:tr>
      <w:tr w:rsidR="00455729" w:rsidRPr="00455729" w:rsidTr="00AE32A3">
        <w:trPr>
          <w:trHeight w:val="20"/>
          <w:jc w:val="center"/>
        </w:trPr>
        <w:tc>
          <w:tcPr>
            <w:tcW w:w="3256" w:type="dxa"/>
            <w:tcBorders>
              <w:top w:val="single" w:sz="4" w:space="0" w:color="auto"/>
              <w:left w:val="single" w:sz="4" w:space="0" w:color="auto"/>
              <w:bottom w:val="single" w:sz="4" w:space="0" w:color="auto"/>
              <w:right w:val="single" w:sz="4" w:space="0" w:color="auto"/>
            </w:tcBorders>
            <w:hideMark/>
          </w:tcPr>
          <w:p w:rsidR="00257C54" w:rsidRPr="00455729" w:rsidRDefault="00257C54" w:rsidP="00AE32A3">
            <w:pPr>
              <w:jc w:val="center"/>
              <w:rPr>
                <w:b/>
                <w:lang w:eastAsia="en-US"/>
              </w:rPr>
            </w:pPr>
            <w:r w:rsidRPr="00455729">
              <w:rPr>
                <w:b/>
                <w:lang w:eastAsia="en-US"/>
              </w:rPr>
              <w:t>100 – 90 (včetně) %</w:t>
            </w:r>
          </w:p>
        </w:tc>
        <w:tc>
          <w:tcPr>
            <w:tcW w:w="2307" w:type="dxa"/>
            <w:tcBorders>
              <w:top w:val="single" w:sz="4" w:space="0" w:color="auto"/>
              <w:left w:val="single" w:sz="4" w:space="0" w:color="auto"/>
              <w:bottom w:val="single" w:sz="4" w:space="0" w:color="auto"/>
              <w:right w:val="single" w:sz="4" w:space="0" w:color="auto"/>
            </w:tcBorders>
            <w:hideMark/>
          </w:tcPr>
          <w:p w:rsidR="00257C54" w:rsidRPr="00455729" w:rsidRDefault="00257C54" w:rsidP="00AE32A3">
            <w:pPr>
              <w:jc w:val="center"/>
              <w:rPr>
                <w:b/>
                <w:lang w:eastAsia="en-US"/>
              </w:rPr>
            </w:pPr>
            <w:r w:rsidRPr="00455729">
              <w:rPr>
                <w:b/>
                <w:lang w:eastAsia="en-US"/>
              </w:rPr>
              <w:t>výborný</w:t>
            </w:r>
          </w:p>
        </w:tc>
      </w:tr>
      <w:tr w:rsidR="00455729" w:rsidRPr="00455729" w:rsidTr="00AE32A3">
        <w:trPr>
          <w:trHeight w:val="20"/>
          <w:jc w:val="center"/>
        </w:trPr>
        <w:tc>
          <w:tcPr>
            <w:tcW w:w="3256" w:type="dxa"/>
            <w:tcBorders>
              <w:top w:val="single" w:sz="4" w:space="0" w:color="auto"/>
              <w:left w:val="single" w:sz="4" w:space="0" w:color="auto"/>
              <w:bottom w:val="single" w:sz="4" w:space="0" w:color="auto"/>
              <w:right w:val="single" w:sz="4" w:space="0" w:color="auto"/>
            </w:tcBorders>
            <w:hideMark/>
          </w:tcPr>
          <w:p w:rsidR="00257C54" w:rsidRPr="00455729" w:rsidRDefault="00257C54" w:rsidP="00AE32A3">
            <w:pPr>
              <w:jc w:val="center"/>
              <w:rPr>
                <w:b/>
                <w:lang w:eastAsia="en-US"/>
              </w:rPr>
            </w:pPr>
            <w:r w:rsidRPr="00455729">
              <w:rPr>
                <w:b/>
                <w:lang w:eastAsia="en-US"/>
              </w:rPr>
              <w:t>méně než 90 – 75 (včetně) %</w:t>
            </w:r>
          </w:p>
        </w:tc>
        <w:tc>
          <w:tcPr>
            <w:tcW w:w="2307" w:type="dxa"/>
            <w:tcBorders>
              <w:top w:val="single" w:sz="4" w:space="0" w:color="auto"/>
              <w:left w:val="single" w:sz="4" w:space="0" w:color="auto"/>
              <w:bottom w:val="single" w:sz="4" w:space="0" w:color="auto"/>
              <w:right w:val="single" w:sz="4" w:space="0" w:color="auto"/>
            </w:tcBorders>
            <w:hideMark/>
          </w:tcPr>
          <w:p w:rsidR="00257C54" w:rsidRPr="00455729" w:rsidRDefault="00257C54" w:rsidP="00AE32A3">
            <w:pPr>
              <w:jc w:val="center"/>
              <w:rPr>
                <w:b/>
                <w:lang w:eastAsia="en-US"/>
              </w:rPr>
            </w:pPr>
            <w:r w:rsidRPr="00455729">
              <w:rPr>
                <w:b/>
                <w:lang w:eastAsia="en-US"/>
              </w:rPr>
              <w:t>chvalitebný</w:t>
            </w:r>
          </w:p>
        </w:tc>
      </w:tr>
      <w:tr w:rsidR="00455729" w:rsidRPr="00455729" w:rsidTr="00AE32A3">
        <w:trPr>
          <w:trHeight w:val="20"/>
          <w:jc w:val="center"/>
        </w:trPr>
        <w:tc>
          <w:tcPr>
            <w:tcW w:w="3256" w:type="dxa"/>
            <w:tcBorders>
              <w:top w:val="single" w:sz="4" w:space="0" w:color="auto"/>
              <w:left w:val="single" w:sz="4" w:space="0" w:color="auto"/>
              <w:bottom w:val="single" w:sz="4" w:space="0" w:color="auto"/>
              <w:right w:val="single" w:sz="4" w:space="0" w:color="auto"/>
            </w:tcBorders>
            <w:hideMark/>
          </w:tcPr>
          <w:p w:rsidR="00257C54" w:rsidRPr="00455729" w:rsidRDefault="00257C54" w:rsidP="00AE32A3">
            <w:pPr>
              <w:jc w:val="center"/>
              <w:rPr>
                <w:b/>
                <w:lang w:eastAsia="en-US"/>
              </w:rPr>
            </w:pPr>
            <w:r w:rsidRPr="00455729">
              <w:rPr>
                <w:b/>
                <w:lang w:eastAsia="en-US"/>
              </w:rPr>
              <w:t>méně než 75 – 55 (včetně) %</w:t>
            </w:r>
          </w:p>
        </w:tc>
        <w:tc>
          <w:tcPr>
            <w:tcW w:w="2307" w:type="dxa"/>
            <w:tcBorders>
              <w:top w:val="single" w:sz="4" w:space="0" w:color="auto"/>
              <w:left w:val="single" w:sz="4" w:space="0" w:color="auto"/>
              <w:bottom w:val="single" w:sz="4" w:space="0" w:color="auto"/>
              <w:right w:val="single" w:sz="4" w:space="0" w:color="auto"/>
            </w:tcBorders>
            <w:hideMark/>
          </w:tcPr>
          <w:p w:rsidR="00257C54" w:rsidRPr="00455729" w:rsidRDefault="00257C54" w:rsidP="00AE32A3">
            <w:pPr>
              <w:jc w:val="center"/>
              <w:rPr>
                <w:b/>
                <w:lang w:eastAsia="en-US"/>
              </w:rPr>
            </w:pPr>
            <w:r w:rsidRPr="00455729">
              <w:rPr>
                <w:b/>
                <w:lang w:eastAsia="en-US"/>
              </w:rPr>
              <w:t>dobrý</w:t>
            </w:r>
          </w:p>
        </w:tc>
      </w:tr>
      <w:tr w:rsidR="00455729" w:rsidRPr="00455729" w:rsidTr="00AE32A3">
        <w:trPr>
          <w:trHeight w:val="20"/>
          <w:jc w:val="center"/>
        </w:trPr>
        <w:tc>
          <w:tcPr>
            <w:tcW w:w="3256" w:type="dxa"/>
            <w:tcBorders>
              <w:top w:val="single" w:sz="4" w:space="0" w:color="auto"/>
              <w:left w:val="single" w:sz="4" w:space="0" w:color="auto"/>
              <w:bottom w:val="single" w:sz="4" w:space="0" w:color="auto"/>
              <w:right w:val="single" w:sz="4" w:space="0" w:color="auto"/>
            </w:tcBorders>
            <w:hideMark/>
          </w:tcPr>
          <w:p w:rsidR="00257C54" w:rsidRPr="00455729" w:rsidRDefault="00257C54" w:rsidP="00AE32A3">
            <w:pPr>
              <w:jc w:val="center"/>
              <w:rPr>
                <w:b/>
                <w:lang w:eastAsia="en-US"/>
              </w:rPr>
            </w:pPr>
            <w:r w:rsidRPr="00455729">
              <w:rPr>
                <w:b/>
                <w:lang w:eastAsia="en-US"/>
              </w:rPr>
              <w:t>méně než 55 – 40 (včetně) %</w:t>
            </w:r>
          </w:p>
        </w:tc>
        <w:tc>
          <w:tcPr>
            <w:tcW w:w="2307" w:type="dxa"/>
            <w:tcBorders>
              <w:top w:val="single" w:sz="4" w:space="0" w:color="auto"/>
              <w:left w:val="single" w:sz="4" w:space="0" w:color="auto"/>
              <w:bottom w:val="single" w:sz="4" w:space="0" w:color="auto"/>
              <w:right w:val="single" w:sz="4" w:space="0" w:color="auto"/>
            </w:tcBorders>
            <w:hideMark/>
          </w:tcPr>
          <w:p w:rsidR="00257C54" w:rsidRPr="00455729" w:rsidRDefault="00257C54" w:rsidP="00AE32A3">
            <w:pPr>
              <w:jc w:val="center"/>
              <w:rPr>
                <w:b/>
                <w:lang w:eastAsia="en-US"/>
              </w:rPr>
            </w:pPr>
            <w:r w:rsidRPr="00455729">
              <w:rPr>
                <w:b/>
                <w:lang w:eastAsia="en-US"/>
              </w:rPr>
              <w:t>dostatečný</w:t>
            </w:r>
          </w:p>
        </w:tc>
      </w:tr>
      <w:tr w:rsidR="00257C54" w:rsidRPr="00455729" w:rsidTr="00AE32A3">
        <w:trPr>
          <w:trHeight w:val="20"/>
          <w:jc w:val="center"/>
        </w:trPr>
        <w:tc>
          <w:tcPr>
            <w:tcW w:w="3256" w:type="dxa"/>
            <w:tcBorders>
              <w:top w:val="single" w:sz="4" w:space="0" w:color="auto"/>
              <w:left w:val="single" w:sz="4" w:space="0" w:color="auto"/>
              <w:bottom w:val="single" w:sz="4" w:space="0" w:color="auto"/>
              <w:right w:val="single" w:sz="4" w:space="0" w:color="auto"/>
            </w:tcBorders>
            <w:hideMark/>
          </w:tcPr>
          <w:p w:rsidR="00257C54" w:rsidRPr="00455729" w:rsidRDefault="00257C54" w:rsidP="00AE32A3">
            <w:pPr>
              <w:jc w:val="center"/>
              <w:rPr>
                <w:b/>
                <w:lang w:eastAsia="en-US"/>
              </w:rPr>
            </w:pPr>
            <w:r w:rsidRPr="00455729">
              <w:rPr>
                <w:b/>
                <w:lang w:eastAsia="en-US"/>
              </w:rPr>
              <w:t>méně než 40 %</w:t>
            </w:r>
          </w:p>
        </w:tc>
        <w:tc>
          <w:tcPr>
            <w:tcW w:w="2307" w:type="dxa"/>
            <w:tcBorders>
              <w:top w:val="single" w:sz="4" w:space="0" w:color="auto"/>
              <w:left w:val="single" w:sz="4" w:space="0" w:color="auto"/>
              <w:bottom w:val="single" w:sz="4" w:space="0" w:color="auto"/>
              <w:right w:val="single" w:sz="4" w:space="0" w:color="auto"/>
            </w:tcBorders>
            <w:hideMark/>
          </w:tcPr>
          <w:p w:rsidR="00257C54" w:rsidRPr="00455729" w:rsidRDefault="00257C54" w:rsidP="00AE32A3">
            <w:pPr>
              <w:jc w:val="center"/>
              <w:rPr>
                <w:b/>
                <w:lang w:eastAsia="en-US"/>
              </w:rPr>
            </w:pPr>
            <w:r w:rsidRPr="00455729">
              <w:rPr>
                <w:b/>
                <w:lang w:eastAsia="en-US"/>
              </w:rPr>
              <w:t>nedostatečný</w:t>
            </w:r>
          </w:p>
        </w:tc>
      </w:tr>
    </w:tbl>
    <w:p w:rsidR="00257C54" w:rsidRPr="00455729" w:rsidRDefault="00257C54" w:rsidP="00257C54">
      <w:pPr>
        <w:spacing w:after="120"/>
        <w:jc w:val="both"/>
        <w:rPr>
          <w:sz w:val="20"/>
          <w:szCs w:val="20"/>
        </w:rPr>
      </w:pPr>
    </w:p>
    <w:p w:rsidR="00257C54" w:rsidRPr="00455729" w:rsidRDefault="00257C54" w:rsidP="00257C54">
      <w:pPr>
        <w:pStyle w:val="Odstavecseseznamem"/>
        <w:numPr>
          <w:ilvl w:val="0"/>
          <w:numId w:val="1"/>
        </w:numPr>
        <w:spacing w:after="0" w:line="240" w:lineRule="auto"/>
        <w:jc w:val="both"/>
        <w:rPr>
          <w:rFonts w:ascii="Times New Roman" w:hAnsi="Times New Roman" w:cs="Times New Roman"/>
          <w:sz w:val="28"/>
          <w:szCs w:val="28"/>
        </w:rPr>
      </w:pPr>
      <w:r w:rsidRPr="00455729">
        <w:rPr>
          <w:rFonts w:ascii="Times New Roman" w:hAnsi="Times New Roman" w:cs="Times New Roman"/>
          <w:b/>
          <w:sz w:val="28"/>
          <w:szCs w:val="28"/>
        </w:rPr>
        <w:t xml:space="preserve">Tělesná výchova </w:t>
      </w:r>
    </w:p>
    <w:p w:rsidR="00257C54" w:rsidRPr="00E55F58" w:rsidRDefault="005B414C" w:rsidP="00257C54">
      <w:pPr>
        <w:pStyle w:val="Odstavecseseznamem"/>
        <w:numPr>
          <w:ilvl w:val="0"/>
          <w:numId w:val="3"/>
        </w:numPr>
        <w:spacing w:after="120" w:line="240" w:lineRule="auto"/>
        <w:ind w:left="709" w:hanging="283"/>
        <w:jc w:val="both"/>
        <w:rPr>
          <w:rFonts w:ascii="Times New Roman" w:hAnsi="Times New Roman" w:cs="Times New Roman"/>
        </w:rPr>
      </w:pPr>
      <w:r w:rsidRPr="00E55F58">
        <w:rPr>
          <w:rFonts w:ascii="Times New Roman" w:hAnsi="Times New Roman" w:cs="Times New Roman"/>
        </w:rPr>
        <w:t>Tělesná výchova má</w:t>
      </w:r>
      <w:r w:rsidR="00257C54" w:rsidRPr="00E55F58">
        <w:rPr>
          <w:rFonts w:ascii="Times New Roman" w:hAnsi="Times New Roman" w:cs="Times New Roman"/>
        </w:rPr>
        <w:t xml:space="preserve"> vytvořena vlastní pravidla klasifikace.</w:t>
      </w:r>
    </w:p>
    <w:p w:rsidR="00257C54" w:rsidRPr="00455729" w:rsidRDefault="00257C54" w:rsidP="00257C54">
      <w:pPr>
        <w:pStyle w:val="Odstavecseseznamem"/>
        <w:ind w:left="1440"/>
        <w:jc w:val="both"/>
        <w:rPr>
          <w:rFonts w:ascii="Times New Roman" w:hAnsi="Times New Roman" w:cs="Times New Roman"/>
        </w:rPr>
      </w:pPr>
    </w:p>
    <w:p w:rsidR="00257C54" w:rsidRPr="00455729" w:rsidRDefault="00257C54" w:rsidP="00257C54">
      <w:pPr>
        <w:pStyle w:val="Odstavecseseznamem"/>
        <w:numPr>
          <w:ilvl w:val="0"/>
          <w:numId w:val="1"/>
        </w:numPr>
        <w:spacing w:after="0" w:line="240" w:lineRule="auto"/>
        <w:jc w:val="both"/>
        <w:rPr>
          <w:rFonts w:ascii="Times New Roman" w:hAnsi="Times New Roman" w:cs="Times New Roman"/>
          <w:b/>
          <w:sz w:val="28"/>
          <w:szCs w:val="28"/>
        </w:rPr>
      </w:pPr>
      <w:r w:rsidRPr="00455729">
        <w:rPr>
          <w:rFonts w:ascii="Times New Roman" w:hAnsi="Times New Roman" w:cs="Times New Roman"/>
          <w:b/>
          <w:sz w:val="28"/>
          <w:szCs w:val="28"/>
        </w:rPr>
        <w:t xml:space="preserve">Kompetence při </w:t>
      </w:r>
      <w:r w:rsidR="001808A9">
        <w:rPr>
          <w:rFonts w:ascii="Times New Roman" w:hAnsi="Times New Roman" w:cs="Times New Roman"/>
          <w:b/>
          <w:sz w:val="28"/>
          <w:szCs w:val="28"/>
        </w:rPr>
        <w:t>nastavování parametrů hodnocení</w:t>
      </w:r>
      <w:r w:rsidRPr="00455729">
        <w:rPr>
          <w:rFonts w:ascii="Times New Roman" w:hAnsi="Times New Roman" w:cs="Times New Roman"/>
          <w:b/>
          <w:sz w:val="28"/>
          <w:szCs w:val="28"/>
        </w:rPr>
        <w:t xml:space="preserve"> </w:t>
      </w:r>
    </w:p>
    <w:p w:rsidR="00257C54" w:rsidRPr="00455729" w:rsidRDefault="00257C54" w:rsidP="00257C54">
      <w:pPr>
        <w:ind w:left="360"/>
        <w:jc w:val="both"/>
        <w:rPr>
          <w:b/>
          <w:sz w:val="20"/>
          <w:szCs w:val="20"/>
        </w:rPr>
      </w:pPr>
    </w:p>
    <w:tbl>
      <w:tblPr>
        <w:tblStyle w:val="Mkatabulky"/>
        <w:tblW w:w="0" w:type="auto"/>
        <w:tblLook w:val="04A0" w:firstRow="1" w:lastRow="0" w:firstColumn="1" w:lastColumn="0" w:noHBand="0" w:noVBand="1"/>
      </w:tblPr>
      <w:tblGrid>
        <w:gridCol w:w="3375"/>
        <w:gridCol w:w="3105"/>
        <w:gridCol w:w="3148"/>
      </w:tblGrid>
      <w:tr w:rsidR="00455729" w:rsidRPr="00455729" w:rsidTr="00AE32A3">
        <w:trPr>
          <w:trHeight w:val="246"/>
        </w:trPr>
        <w:tc>
          <w:tcPr>
            <w:tcW w:w="3539" w:type="dxa"/>
          </w:tcPr>
          <w:p w:rsidR="00257C54" w:rsidRPr="00455729" w:rsidRDefault="00257C54" w:rsidP="00AE32A3">
            <w:pPr>
              <w:jc w:val="center"/>
              <w:rPr>
                <w:b/>
              </w:rPr>
            </w:pPr>
            <w:r w:rsidRPr="00455729">
              <w:rPr>
                <w:b/>
              </w:rPr>
              <w:t>V</w:t>
            </w:r>
            <w:r w:rsidRPr="00455729">
              <w:rPr>
                <w:b/>
                <w:sz w:val="22"/>
                <w:szCs w:val="22"/>
              </w:rPr>
              <w:t>edení</w:t>
            </w:r>
            <w:r w:rsidRPr="00455729">
              <w:rPr>
                <w:b/>
              </w:rPr>
              <w:t xml:space="preserve"> školy</w:t>
            </w:r>
          </w:p>
        </w:tc>
        <w:tc>
          <w:tcPr>
            <w:tcW w:w="3260" w:type="dxa"/>
          </w:tcPr>
          <w:p w:rsidR="00257C54" w:rsidRPr="00455729" w:rsidRDefault="00257C54" w:rsidP="00AE32A3">
            <w:pPr>
              <w:jc w:val="center"/>
              <w:rPr>
                <w:b/>
              </w:rPr>
            </w:pPr>
            <w:r w:rsidRPr="00455729">
              <w:rPr>
                <w:b/>
                <w:sz w:val="22"/>
                <w:szCs w:val="22"/>
              </w:rPr>
              <w:t>předmětová komise</w:t>
            </w:r>
          </w:p>
        </w:tc>
        <w:tc>
          <w:tcPr>
            <w:tcW w:w="3261" w:type="dxa"/>
          </w:tcPr>
          <w:p w:rsidR="00257C54" w:rsidRPr="00455729" w:rsidRDefault="00257C54" w:rsidP="00AE32A3">
            <w:pPr>
              <w:jc w:val="center"/>
              <w:rPr>
                <w:b/>
              </w:rPr>
            </w:pPr>
            <w:r w:rsidRPr="00455729">
              <w:rPr>
                <w:b/>
                <w:sz w:val="22"/>
                <w:szCs w:val="22"/>
              </w:rPr>
              <w:t>učitel</w:t>
            </w:r>
          </w:p>
        </w:tc>
      </w:tr>
      <w:tr w:rsidR="00257C54" w:rsidRPr="00455729" w:rsidTr="00257C54">
        <w:trPr>
          <w:trHeight w:val="1200"/>
        </w:trPr>
        <w:tc>
          <w:tcPr>
            <w:tcW w:w="3539" w:type="dxa"/>
          </w:tcPr>
          <w:p w:rsidR="00257C54" w:rsidRPr="00455729" w:rsidRDefault="00257C54" w:rsidP="00257C54">
            <w:pPr>
              <w:pStyle w:val="Odstavecseseznamem"/>
              <w:numPr>
                <w:ilvl w:val="0"/>
                <w:numId w:val="9"/>
              </w:numPr>
              <w:spacing w:after="0" w:line="240" w:lineRule="auto"/>
              <w:ind w:left="164" w:hanging="164"/>
              <w:rPr>
                <w:rFonts w:ascii="Times New Roman" w:hAnsi="Times New Roman" w:cs="Times New Roman"/>
              </w:rPr>
            </w:pPr>
            <w:r w:rsidRPr="00455729">
              <w:rPr>
                <w:rFonts w:ascii="Times New Roman" w:hAnsi="Times New Roman" w:cs="Times New Roman"/>
              </w:rPr>
              <w:t>Stanovuje 6 obecných forem hodnocení a vytváří jejich charakteristiku</w:t>
            </w:r>
          </w:p>
          <w:p w:rsidR="00257C54" w:rsidRPr="00455729" w:rsidRDefault="00257C54" w:rsidP="00257C54">
            <w:pPr>
              <w:pStyle w:val="Odstavecseseznamem"/>
              <w:numPr>
                <w:ilvl w:val="0"/>
                <w:numId w:val="9"/>
              </w:numPr>
              <w:spacing w:after="0" w:line="240" w:lineRule="auto"/>
              <w:ind w:left="164" w:hanging="164"/>
              <w:rPr>
                <w:rFonts w:ascii="Times New Roman" w:hAnsi="Times New Roman" w:cs="Times New Roman"/>
              </w:rPr>
            </w:pPr>
            <w:r w:rsidRPr="00455729">
              <w:rPr>
                <w:rFonts w:ascii="Times New Roman" w:hAnsi="Times New Roman" w:cs="Times New Roman"/>
              </w:rPr>
              <w:t>Nastavuje rozpětí parametrů pro četnost hodnocení v jednotlivých formách závazných pro všechny PK</w:t>
            </w:r>
          </w:p>
          <w:p w:rsidR="00257C54" w:rsidRPr="00455729" w:rsidRDefault="00257C54" w:rsidP="00257C54">
            <w:pPr>
              <w:pStyle w:val="Odstavecseseznamem"/>
              <w:numPr>
                <w:ilvl w:val="0"/>
                <w:numId w:val="9"/>
              </w:numPr>
              <w:spacing w:after="0" w:line="240" w:lineRule="auto"/>
              <w:ind w:left="164" w:hanging="164"/>
              <w:rPr>
                <w:rFonts w:ascii="Times New Roman" w:hAnsi="Times New Roman" w:cs="Times New Roman"/>
              </w:rPr>
            </w:pPr>
            <w:r w:rsidRPr="00455729">
              <w:rPr>
                <w:rFonts w:ascii="Times New Roman" w:hAnsi="Times New Roman" w:cs="Times New Roman"/>
              </w:rPr>
              <w:t>Nastavuje pro všechny závaznou škálu převodu %bodů na známky</w:t>
            </w:r>
          </w:p>
          <w:p w:rsidR="00257C54" w:rsidRPr="00455729" w:rsidRDefault="00257C54" w:rsidP="00257C54">
            <w:pPr>
              <w:pStyle w:val="Odstavecseseznamem"/>
              <w:numPr>
                <w:ilvl w:val="0"/>
                <w:numId w:val="9"/>
              </w:numPr>
              <w:spacing w:after="0" w:line="240" w:lineRule="auto"/>
              <w:ind w:left="164" w:hanging="164"/>
              <w:rPr>
                <w:rFonts w:ascii="Times New Roman" w:hAnsi="Times New Roman" w:cs="Times New Roman"/>
              </w:rPr>
            </w:pPr>
            <w:r w:rsidRPr="00455729">
              <w:rPr>
                <w:rFonts w:ascii="Times New Roman" w:hAnsi="Times New Roman" w:cs="Times New Roman"/>
              </w:rPr>
              <w:t>Formuluje obecná ustanovení platná pro všechny PK</w:t>
            </w:r>
          </w:p>
        </w:tc>
        <w:tc>
          <w:tcPr>
            <w:tcW w:w="3260" w:type="dxa"/>
          </w:tcPr>
          <w:p w:rsidR="00257C54" w:rsidRPr="00455729" w:rsidRDefault="00257C54" w:rsidP="00257C54">
            <w:pPr>
              <w:pStyle w:val="Odstavecseseznamem"/>
              <w:numPr>
                <w:ilvl w:val="0"/>
                <w:numId w:val="9"/>
              </w:numPr>
              <w:spacing w:after="0" w:line="240" w:lineRule="auto"/>
              <w:ind w:left="193" w:hanging="142"/>
              <w:rPr>
                <w:rFonts w:ascii="Times New Roman" w:hAnsi="Times New Roman" w:cs="Times New Roman"/>
              </w:rPr>
            </w:pPr>
            <w:r w:rsidRPr="00455729">
              <w:rPr>
                <w:rFonts w:ascii="Times New Roman" w:hAnsi="Times New Roman" w:cs="Times New Roman"/>
              </w:rPr>
              <w:t>Stanovuje společná zadání hodnotících podkladů (v rámci 6 obecných forem) závazná pro danou PK</w:t>
            </w:r>
          </w:p>
          <w:p w:rsidR="00257C54" w:rsidRPr="00455729" w:rsidRDefault="00257C54" w:rsidP="00257C54">
            <w:pPr>
              <w:pStyle w:val="Odstavecseseznamem"/>
              <w:numPr>
                <w:ilvl w:val="0"/>
                <w:numId w:val="9"/>
              </w:numPr>
              <w:spacing w:after="0" w:line="240" w:lineRule="auto"/>
              <w:ind w:left="193" w:hanging="142"/>
              <w:rPr>
                <w:rFonts w:ascii="Times New Roman" w:hAnsi="Times New Roman" w:cs="Times New Roman"/>
              </w:rPr>
            </w:pPr>
            <w:r w:rsidRPr="00455729">
              <w:rPr>
                <w:rFonts w:ascii="Times New Roman" w:hAnsi="Times New Roman" w:cs="Times New Roman"/>
              </w:rPr>
              <w:t xml:space="preserve">Stanovuje četnost hodnocení </w:t>
            </w:r>
          </w:p>
          <w:p w:rsidR="00257C54" w:rsidRPr="00455729" w:rsidRDefault="00257C54" w:rsidP="00AE32A3">
            <w:pPr>
              <w:pStyle w:val="Odstavecseseznamem"/>
              <w:ind w:left="193"/>
              <w:rPr>
                <w:rFonts w:ascii="Times New Roman" w:hAnsi="Times New Roman" w:cs="Times New Roman"/>
              </w:rPr>
            </w:pPr>
            <w:r w:rsidRPr="00455729">
              <w:rPr>
                <w:rFonts w:ascii="Times New Roman" w:hAnsi="Times New Roman" w:cs="Times New Roman"/>
              </w:rPr>
              <w:t>v jednotlivých formách (v rámci centrálního nastavení) závaznou pro danou PK</w:t>
            </w:r>
          </w:p>
          <w:p w:rsidR="00257C54" w:rsidRPr="00455729" w:rsidRDefault="00257C54" w:rsidP="00257C54">
            <w:pPr>
              <w:pStyle w:val="Odstavecseseznamem"/>
              <w:numPr>
                <w:ilvl w:val="0"/>
                <w:numId w:val="9"/>
              </w:numPr>
              <w:spacing w:after="0" w:line="240" w:lineRule="auto"/>
              <w:ind w:left="193" w:hanging="142"/>
              <w:rPr>
                <w:rFonts w:ascii="Times New Roman" w:hAnsi="Times New Roman" w:cs="Times New Roman"/>
              </w:rPr>
            </w:pPr>
            <w:r w:rsidRPr="00455729">
              <w:rPr>
                <w:rFonts w:ascii="Times New Roman" w:hAnsi="Times New Roman" w:cs="Times New Roman"/>
              </w:rPr>
              <w:t>Stanovuje váhu jednotlivých forem hodnocení závaznou pro danou PK</w:t>
            </w:r>
          </w:p>
        </w:tc>
        <w:tc>
          <w:tcPr>
            <w:tcW w:w="3261" w:type="dxa"/>
          </w:tcPr>
          <w:p w:rsidR="00257C54" w:rsidRPr="00455729" w:rsidRDefault="00257C54" w:rsidP="00257C54">
            <w:pPr>
              <w:pStyle w:val="Odstavecseseznamem"/>
              <w:numPr>
                <w:ilvl w:val="0"/>
                <w:numId w:val="9"/>
              </w:numPr>
              <w:spacing w:after="0" w:line="240" w:lineRule="auto"/>
              <w:ind w:left="205" w:hanging="141"/>
              <w:rPr>
                <w:rFonts w:ascii="Times New Roman" w:hAnsi="Times New Roman" w:cs="Times New Roman"/>
              </w:rPr>
            </w:pPr>
            <w:r w:rsidRPr="00455729">
              <w:rPr>
                <w:rFonts w:ascii="Times New Roman" w:hAnsi="Times New Roman" w:cs="Times New Roman"/>
              </w:rPr>
              <w:t>Zařazuje do klasifikace společná zadání závazná pro PK</w:t>
            </w:r>
          </w:p>
          <w:p w:rsidR="00257C54" w:rsidRPr="00455729" w:rsidRDefault="00257C54" w:rsidP="00257C54">
            <w:pPr>
              <w:pStyle w:val="Odstavecseseznamem"/>
              <w:numPr>
                <w:ilvl w:val="0"/>
                <w:numId w:val="9"/>
              </w:numPr>
              <w:spacing w:after="0" w:line="240" w:lineRule="auto"/>
              <w:ind w:left="205" w:hanging="141"/>
              <w:rPr>
                <w:rFonts w:ascii="Times New Roman" w:hAnsi="Times New Roman" w:cs="Times New Roman"/>
              </w:rPr>
            </w:pPr>
            <w:r w:rsidRPr="00455729">
              <w:rPr>
                <w:rFonts w:ascii="Times New Roman" w:hAnsi="Times New Roman" w:cs="Times New Roman"/>
              </w:rPr>
              <w:t xml:space="preserve">Zařazuje do klasifikace vlastní zadání, která jsou v souladu s charakteristikou obecných forem hodnocení </w:t>
            </w:r>
          </w:p>
          <w:p w:rsidR="00257C54" w:rsidRPr="00455729" w:rsidRDefault="00257C54" w:rsidP="00257C54">
            <w:pPr>
              <w:pStyle w:val="Odstavecseseznamem"/>
              <w:numPr>
                <w:ilvl w:val="0"/>
                <w:numId w:val="9"/>
              </w:numPr>
              <w:spacing w:after="0" w:line="240" w:lineRule="auto"/>
              <w:ind w:left="205" w:hanging="141"/>
              <w:rPr>
                <w:rFonts w:ascii="Times New Roman" w:hAnsi="Times New Roman" w:cs="Times New Roman"/>
              </w:rPr>
            </w:pPr>
            <w:r w:rsidRPr="00455729">
              <w:rPr>
                <w:rFonts w:ascii="Times New Roman" w:hAnsi="Times New Roman" w:cs="Times New Roman"/>
              </w:rPr>
              <w:t>Určuje konkrétní četnost hodnotících podkladů v jednotlivých formách v rámci parametrů stanovených PK</w:t>
            </w:r>
          </w:p>
        </w:tc>
      </w:tr>
    </w:tbl>
    <w:p w:rsidR="00257C54" w:rsidRDefault="00257C54" w:rsidP="00257C54">
      <w:pPr>
        <w:jc w:val="both"/>
      </w:pPr>
    </w:p>
    <w:p w:rsidR="00E55F58" w:rsidRDefault="00E55F58" w:rsidP="00257C54">
      <w:pPr>
        <w:jc w:val="both"/>
      </w:pPr>
    </w:p>
    <w:p w:rsidR="00E55F58" w:rsidRPr="00455729" w:rsidRDefault="00E55F58" w:rsidP="00257C54">
      <w:pPr>
        <w:jc w:val="both"/>
      </w:pPr>
    </w:p>
    <w:p w:rsidR="00257C54" w:rsidRPr="00455729" w:rsidRDefault="00257C54" w:rsidP="00257C54">
      <w:pPr>
        <w:pStyle w:val="Odstavecseseznamem"/>
        <w:numPr>
          <w:ilvl w:val="0"/>
          <w:numId w:val="1"/>
        </w:numPr>
        <w:spacing w:after="0" w:line="240" w:lineRule="auto"/>
        <w:jc w:val="both"/>
        <w:rPr>
          <w:rFonts w:ascii="Times New Roman" w:hAnsi="Times New Roman" w:cs="Times New Roman"/>
          <w:sz w:val="28"/>
          <w:szCs w:val="28"/>
        </w:rPr>
      </w:pPr>
      <w:r w:rsidRPr="00455729">
        <w:rPr>
          <w:rFonts w:ascii="Times New Roman" w:hAnsi="Times New Roman" w:cs="Times New Roman"/>
          <w:b/>
          <w:sz w:val="28"/>
          <w:szCs w:val="28"/>
        </w:rPr>
        <w:lastRenderedPageBreak/>
        <w:t>Obecná ustanovení</w:t>
      </w:r>
    </w:p>
    <w:p w:rsidR="00257C54" w:rsidRPr="00455729" w:rsidRDefault="00257C54" w:rsidP="00257C54">
      <w:pPr>
        <w:ind w:left="360"/>
        <w:jc w:val="both"/>
        <w:rPr>
          <w:sz w:val="22"/>
          <w:szCs w:val="22"/>
        </w:rPr>
      </w:pPr>
      <w:r w:rsidRPr="00455729">
        <w:rPr>
          <w:sz w:val="22"/>
          <w:szCs w:val="22"/>
        </w:rPr>
        <w:t xml:space="preserve">Čl. 1 </w:t>
      </w:r>
    </w:p>
    <w:p w:rsidR="00257C54" w:rsidRPr="00455729" w:rsidRDefault="00257C54" w:rsidP="00257C54">
      <w:pPr>
        <w:pStyle w:val="Odstavecseseznamem"/>
        <w:numPr>
          <w:ilvl w:val="0"/>
          <w:numId w:val="5"/>
        </w:numPr>
        <w:autoSpaceDE w:val="0"/>
        <w:autoSpaceDN w:val="0"/>
        <w:adjustRightInd w:val="0"/>
        <w:spacing w:after="0" w:line="240" w:lineRule="auto"/>
        <w:jc w:val="both"/>
        <w:rPr>
          <w:rFonts w:ascii="Times New Roman" w:hAnsi="Times New Roman" w:cs="Times New Roman"/>
          <w:bCs/>
        </w:rPr>
      </w:pPr>
      <w:r w:rsidRPr="00455729">
        <w:rPr>
          <w:rFonts w:ascii="Times New Roman" w:hAnsi="Times New Roman" w:cs="Times New Roman"/>
        </w:rPr>
        <w:t xml:space="preserve">S pravidly a podmínkami klasifikace musí na počátku klasifikačního období žáky prokazatelně seznámit vyučující daného předmětu. </w:t>
      </w:r>
    </w:p>
    <w:p w:rsidR="00257C54" w:rsidRPr="00455729" w:rsidRDefault="00257C54" w:rsidP="00257C54">
      <w:pPr>
        <w:pStyle w:val="Odstavecseseznamem"/>
        <w:numPr>
          <w:ilvl w:val="0"/>
          <w:numId w:val="5"/>
        </w:numPr>
        <w:autoSpaceDE w:val="0"/>
        <w:autoSpaceDN w:val="0"/>
        <w:adjustRightInd w:val="0"/>
        <w:spacing w:after="0" w:line="240" w:lineRule="auto"/>
        <w:jc w:val="both"/>
        <w:rPr>
          <w:rFonts w:ascii="Times New Roman" w:hAnsi="Times New Roman" w:cs="Times New Roman"/>
          <w:bCs/>
        </w:rPr>
      </w:pPr>
      <w:r w:rsidRPr="00455729">
        <w:rPr>
          <w:rFonts w:ascii="Times New Roman" w:hAnsi="Times New Roman" w:cs="Times New Roman"/>
        </w:rPr>
        <w:t>Formy hodnocení u forem, jejichž podklady a výsledky nelze uchovat v čase, musí být realizovány zásadně před kolektivem třídy. Žák má právo na okamžité sdělení výsledku klasifikace a jeho zdůvodnění. Výsledky forem hodnocení, které lze uchovat v čase, jsou žáku sděleny nejpozději do 10 vyučovacích dnů ode dne prověření či odevzdání podkladu. Žák má právo opravené práce vidět a požadovat zdůvodnění klasifikace a vysvětlení případných nedostatků.</w:t>
      </w:r>
    </w:p>
    <w:p w:rsidR="00257C54" w:rsidRPr="00455729" w:rsidRDefault="00257C54" w:rsidP="00257C54">
      <w:pPr>
        <w:pStyle w:val="Odstavecseseznamem"/>
        <w:numPr>
          <w:ilvl w:val="0"/>
          <w:numId w:val="5"/>
        </w:numPr>
        <w:autoSpaceDE w:val="0"/>
        <w:autoSpaceDN w:val="0"/>
        <w:adjustRightInd w:val="0"/>
        <w:spacing w:after="0" w:line="240" w:lineRule="auto"/>
        <w:jc w:val="both"/>
        <w:rPr>
          <w:rFonts w:ascii="Times New Roman" w:hAnsi="Times New Roman" w:cs="Times New Roman"/>
          <w:bCs/>
        </w:rPr>
      </w:pPr>
      <w:r w:rsidRPr="00455729">
        <w:rPr>
          <w:rFonts w:ascii="Times New Roman" w:hAnsi="Times New Roman" w:cs="Times New Roman"/>
        </w:rPr>
        <w:t xml:space="preserve">Práce uchovatelné v čase jsou uschovány po celé klasifikační období včetně doby, po kterou se může zletilý žák či zákonný zástupce nezletilého žáka odvolat proti hodnocení. Pokud jsou vydány žáku, je výhradně na něm, aby je v případě potřeby doložil. </w:t>
      </w:r>
    </w:p>
    <w:p w:rsidR="00257C54" w:rsidRPr="00455729" w:rsidRDefault="00257C54" w:rsidP="00257C54">
      <w:pPr>
        <w:pStyle w:val="Odstavecseseznamem"/>
        <w:numPr>
          <w:ilvl w:val="0"/>
          <w:numId w:val="5"/>
        </w:numPr>
        <w:autoSpaceDE w:val="0"/>
        <w:autoSpaceDN w:val="0"/>
        <w:adjustRightInd w:val="0"/>
        <w:spacing w:after="0" w:line="240" w:lineRule="auto"/>
        <w:jc w:val="both"/>
        <w:rPr>
          <w:rFonts w:ascii="Times New Roman" w:hAnsi="Times New Roman" w:cs="Times New Roman"/>
          <w:bCs/>
        </w:rPr>
      </w:pPr>
      <w:r w:rsidRPr="00455729">
        <w:rPr>
          <w:rFonts w:ascii="Times New Roman" w:hAnsi="Times New Roman" w:cs="Times New Roman"/>
        </w:rPr>
        <w:t>Pokud se prokáže, že odevzdaná práce nebo její část je plagiátem, je práce hodnocena 0 %. Vyučující zároveň navrhne pro žáka kázeňské opatření v souladu se školním řádem.</w:t>
      </w:r>
    </w:p>
    <w:p w:rsidR="00257C54" w:rsidRPr="00455729" w:rsidRDefault="00257C54" w:rsidP="00257C54">
      <w:pPr>
        <w:pStyle w:val="Odstavecseseznamem"/>
        <w:autoSpaceDE w:val="0"/>
        <w:autoSpaceDN w:val="0"/>
        <w:adjustRightInd w:val="0"/>
        <w:spacing w:after="0" w:line="240" w:lineRule="auto"/>
        <w:jc w:val="both"/>
        <w:rPr>
          <w:rFonts w:ascii="Times New Roman" w:hAnsi="Times New Roman" w:cs="Times New Roman"/>
          <w:bCs/>
        </w:rPr>
      </w:pPr>
    </w:p>
    <w:p w:rsidR="00257C54" w:rsidRPr="00455729" w:rsidRDefault="00257C54" w:rsidP="00257C54">
      <w:pPr>
        <w:autoSpaceDE w:val="0"/>
        <w:autoSpaceDN w:val="0"/>
        <w:adjustRightInd w:val="0"/>
        <w:ind w:left="360"/>
        <w:jc w:val="both"/>
        <w:rPr>
          <w:b/>
          <w:bCs/>
          <w:sz w:val="22"/>
          <w:szCs w:val="22"/>
        </w:rPr>
      </w:pPr>
      <w:r w:rsidRPr="00455729">
        <w:rPr>
          <w:b/>
          <w:bCs/>
          <w:sz w:val="22"/>
          <w:szCs w:val="22"/>
        </w:rPr>
        <w:t>Čl. 2 Hodnocení forem a termíny odevzdání prací</w:t>
      </w:r>
    </w:p>
    <w:p w:rsidR="00257C54" w:rsidRPr="00455729" w:rsidRDefault="00257C54" w:rsidP="00257C54">
      <w:pPr>
        <w:pStyle w:val="Odstavecseseznamem"/>
        <w:numPr>
          <w:ilvl w:val="0"/>
          <w:numId w:val="6"/>
        </w:numPr>
        <w:autoSpaceDE w:val="0"/>
        <w:autoSpaceDN w:val="0"/>
        <w:adjustRightInd w:val="0"/>
        <w:spacing w:after="0" w:line="240" w:lineRule="auto"/>
        <w:jc w:val="both"/>
        <w:rPr>
          <w:rFonts w:ascii="Times New Roman" w:hAnsi="Times New Roman" w:cs="Times New Roman"/>
          <w:bCs/>
        </w:rPr>
      </w:pPr>
      <w:r w:rsidRPr="00455729">
        <w:rPr>
          <w:rFonts w:ascii="Times New Roman" w:hAnsi="Times New Roman" w:cs="Times New Roman"/>
        </w:rPr>
        <w:t xml:space="preserve">O termínu shrnujících testů nebo písemných testů trvajících více než 35 minut musí být žáci informováni nejméně s týdenním předstihem. O této skutečnosti je proveden záznam formou zápisu do třídní knihy. </w:t>
      </w:r>
    </w:p>
    <w:p w:rsidR="00257C54" w:rsidRPr="00455729" w:rsidRDefault="00257C54" w:rsidP="00257C54">
      <w:pPr>
        <w:pStyle w:val="Odstavecseseznamem"/>
        <w:autoSpaceDE w:val="0"/>
        <w:autoSpaceDN w:val="0"/>
        <w:adjustRightInd w:val="0"/>
        <w:jc w:val="both"/>
        <w:rPr>
          <w:rFonts w:ascii="Times New Roman" w:hAnsi="Times New Roman" w:cs="Times New Roman"/>
          <w:bCs/>
        </w:rPr>
      </w:pPr>
      <w:r w:rsidRPr="00455729">
        <w:rPr>
          <w:rFonts w:ascii="Times New Roman" w:hAnsi="Times New Roman" w:cs="Times New Roman"/>
        </w:rPr>
        <w:t>V jednom dni mohou žáci psát pouze jeden test.</w:t>
      </w:r>
    </w:p>
    <w:p w:rsidR="00257C54" w:rsidRPr="00455729" w:rsidRDefault="00257C54" w:rsidP="00257C54">
      <w:pPr>
        <w:pStyle w:val="Odstavecseseznamem"/>
        <w:numPr>
          <w:ilvl w:val="0"/>
          <w:numId w:val="6"/>
        </w:numPr>
        <w:autoSpaceDE w:val="0"/>
        <w:autoSpaceDN w:val="0"/>
        <w:adjustRightInd w:val="0"/>
        <w:spacing w:after="0" w:line="240" w:lineRule="auto"/>
        <w:jc w:val="both"/>
        <w:rPr>
          <w:rFonts w:ascii="Times New Roman" w:hAnsi="Times New Roman" w:cs="Times New Roman"/>
          <w:bCs/>
        </w:rPr>
      </w:pPr>
      <w:r w:rsidRPr="00455729">
        <w:rPr>
          <w:rFonts w:ascii="Times New Roman" w:hAnsi="Times New Roman" w:cs="Times New Roman"/>
        </w:rPr>
        <w:t xml:space="preserve">Shrnující test a písemné testy je možné doplnit maximálně deset pracovních dní od data jeho prvního zadání ve třídě. Pokud žák chyběl pouze na jedné hodině, má učitel právo vyžadovat tento klasifikační podklad již na nejbližší hodině daného předmětu. Pokud žák neabsolvuje klasifikaci ani v náhradním termínu a není-li podklad stanoven jako nezbytný (povinný) pro celkovou klasifikaci, ohodnotí ji  vyučující 0 %. </w:t>
      </w:r>
    </w:p>
    <w:p w:rsidR="00257C54" w:rsidRPr="00455729" w:rsidRDefault="00257C54" w:rsidP="00257C54">
      <w:pPr>
        <w:pStyle w:val="Odstavecseseznamem"/>
        <w:numPr>
          <w:ilvl w:val="0"/>
          <w:numId w:val="6"/>
        </w:numPr>
        <w:autoSpaceDE w:val="0"/>
        <w:autoSpaceDN w:val="0"/>
        <w:adjustRightInd w:val="0"/>
        <w:spacing w:after="0" w:line="240" w:lineRule="auto"/>
        <w:jc w:val="both"/>
        <w:rPr>
          <w:rFonts w:ascii="Times New Roman" w:hAnsi="Times New Roman" w:cs="Times New Roman"/>
          <w:bCs/>
        </w:rPr>
      </w:pPr>
      <w:r w:rsidRPr="00455729">
        <w:rPr>
          <w:rFonts w:ascii="Times New Roman" w:hAnsi="Times New Roman" w:cs="Times New Roman"/>
        </w:rPr>
        <w:t>Pokud se předmětová komise rozhodne pro zařazení určité formy hodnocení jako povinnou (nezbytnou pro celkovou klasifikaci) a žák ji nesplní, je z předmětu neklasifikován. Příslušnou doplňkovou zkoušku („</w:t>
      </w:r>
      <w:proofErr w:type="spellStart"/>
      <w:r w:rsidRPr="00455729">
        <w:rPr>
          <w:rFonts w:ascii="Times New Roman" w:hAnsi="Times New Roman" w:cs="Times New Roman"/>
        </w:rPr>
        <w:t>doklasifikaci</w:t>
      </w:r>
      <w:proofErr w:type="spellEnd"/>
      <w:r w:rsidRPr="00455729">
        <w:rPr>
          <w:rFonts w:ascii="Times New Roman" w:hAnsi="Times New Roman" w:cs="Times New Roman"/>
        </w:rPr>
        <w:t>“) určí ředitel až v termínu stanoveném klasifikačním řádem (§ 7 čl. 3). V tomto případě nezapíše vyučující žáku 0 % (nezapisuje do příslušné rubriky nic).</w:t>
      </w:r>
    </w:p>
    <w:p w:rsidR="00257C54" w:rsidRPr="00455729" w:rsidRDefault="00257C54" w:rsidP="00257C54">
      <w:pPr>
        <w:pStyle w:val="Odstavecseseznamem"/>
        <w:numPr>
          <w:ilvl w:val="0"/>
          <w:numId w:val="6"/>
        </w:numPr>
        <w:autoSpaceDE w:val="0"/>
        <w:autoSpaceDN w:val="0"/>
        <w:adjustRightInd w:val="0"/>
        <w:spacing w:after="0" w:line="240" w:lineRule="auto"/>
        <w:jc w:val="both"/>
        <w:rPr>
          <w:rFonts w:ascii="Times New Roman" w:hAnsi="Times New Roman" w:cs="Times New Roman"/>
          <w:bCs/>
        </w:rPr>
      </w:pPr>
      <w:r w:rsidRPr="00455729">
        <w:rPr>
          <w:rFonts w:ascii="Times New Roman" w:hAnsi="Times New Roman" w:cs="Times New Roman"/>
        </w:rPr>
        <w:t>Předem zadané formy hodnocení jsou psány normalizovaným písmem, pokud vyučující nestanoví jinak.</w:t>
      </w:r>
    </w:p>
    <w:p w:rsidR="00257C54" w:rsidRPr="00455729" w:rsidRDefault="00257C54" w:rsidP="00257C54">
      <w:pPr>
        <w:pStyle w:val="Odstavecseseznamem"/>
        <w:numPr>
          <w:ilvl w:val="0"/>
          <w:numId w:val="6"/>
        </w:numPr>
        <w:autoSpaceDE w:val="0"/>
        <w:autoSpaceDN w:val="0"/>
        <w:adjustRightInd w:val="0"/>
        <w:spacing w:after="0" w:line="240" w:lineRule="auto"/>
        <w:jc w:val="both"/>
        <w:rPr>
          <w:rFonts w:ascii="Times New Roman" w:hAnsi="Times New Roman" w:cs="Times New Roman"/>
          <w:bCs/>
        </w:rPr>
      </w:pPr>
      <w:r w:rsidRPr="00455729">
        <w:rPr>
          <w:rFonts w:ascii="Times New Roman" w:hAnsi="Times New Roman" w:cs="Times New Roman"/>
        </w:rPr>
        <w:t xml:space="preserve">Ústní zkoušení je stanoveno jako prověřování přípravy žáka a jeho osvojení si látky maximálně za předcházející týden výuky. </w:t>
      </w:r>
    </w:p>
    <w:p w:rsidR="00257C54" w:rsidRPr="00455729" w:rsidRDefault="00257C54" w:rsidP="00257C54">
      <w:pPr>
        <w:pStyle w:val="Odstavecseseznamem"/>
        <w:numPr>
          <w:ilvl w:val="0"/>
          <w:numId w:val="6"/>
        </w:numPr>
        <w:autoSpaceDE w:val="0"/>
        <w:autoSpaceDN w:val="0"/>
        <w:adjustRightInd w:val="0"/>
        <w:spacing w:after="0" w:line="240" w:lineRule="auto"/>
        <w:jc w:val="both"/>
        <w:rPr>
          <w:rFonts w:ascii="Times New Roman" w:hAnsi="Times New Roman" w:cs="Times New Roman"/>
          <w:bCs/>
        </w:rPr>
      </w:pPr>
      <w:r w:rsidRPr="00455729">
        <w:rPr>
          <w:rFonts w:ascii="Times New Roman" w:hAnsi="Times New Roman" w:cs="Times New Roman"/>
        </w:rPr>
        <w:t>Domácí úkoly mohou být kontrolovány formou odevzdání v písemné podobě nebo ve vyučovací hodině formou kontrolních otázek (písemně i ústně). Pokud jsou kontrolovány formou otázek v hodině a žák je daný den nepřítomen, může na nejbližší hodině, na které je přítomen, požádat o vypracování náhradního domácího úkolu.</w:t>
      </w:r>
    </w:p>
    <w:p w:rsidR="00257C54" w:rsidRPr="00455729" w:rsidRDefault="00257C54" w:rsidP="00257C54">
      <w:pPr>
        <w:pStyle w:val="Odstavecseseznamem"/>
        <w:numPr>
          <w:ilvl w:val="0"/>
          <w:numId w:val="6"/>
        </w:numPr>
        <w:autoSpaceDE w:val="0"/>
        <w:autoSpaceDN w:val="0"/>
        <w:adjustRightInd w:val="0"/>
        <w:spacing w:after="0" w:line="240" w:lineRule="auto"/>
        <w:jc w:val="both"/>
        <w:rPr>
          <w:rFonts w:ascii="Times New Roman" w:hAnsi="Times New Roman" w:cs="Times New Roman"/>
          <w:bCs/>
        </w:rPr>
      </w:pPr>
      <w:r w:rsidRPr="00455729">
        <w:rPr>
          <w:rFonts w:ascii="Times New Roman" w:hAnsi="Times New Roman" w:cs="Times New Roman"/>
        </w:rPr>
        <w:t>Pokud žák z důvodu absence nemůže odevzdat samostatnou práci nebo domácí úkol ve škole v daném termínu, může ji zaslat elektronicky, poštou nebo prostřednictvím jiné osoby. Odpovědnost za problémy vzniklé těmito způsoby doručení je výhradně na straně odesilatele. Při dálkové formě odevzdání je rozhodující pro uznání splněné práce datum odeslání.</w:t>
      </w:r>
    </w:p>
    <w:p w:rsidR="00257C54" w:rsidRPr="00455729" w:rsidRDefault="00257C54" w:rsidP="00257C54">
      <w:pPr>
        <w:pStyle w:val="Odstavecseseznamem"/>
        <w:autoSpaceDE w:val="0"/>
        <w:autoSpaceDN w:val="0"/>
        <w:adjustRightInd w:val="0"/>
        <w:spacing w:after="0" w:line="240" w:lineRule="auto"/>
        <w:jc w:val="both"/>
        <w:rPr>
          <w:rFonts w:ascii="Times New Roman" w:hAnsi="Times New Roman" w:cs="Times New Roman"/>
          <w:bCs/>
        </w:rPr>
      </w:pPr>
    </w:p>
    <w:p w:rsidR="00257C54" w:rsidRPr="00455729" w:rsidRDefault="00257C54" w:rsidP="00257C54">
      <w:pPr>
        <w:autoSpaceDE w:val="0"/>
        <w:autoSpaceDN w:val="0"/>
        <w:adjustRightInd w:val="0"/>
        <w:ind w:left="360"/>
        <w:jc w:val="both"/>
        <w:rPr>
          <w:b/>
          <w:bCs/>
          <w:sz w:val="22"/>
          <w:szCs w:val="22"/>
        </w:rPr>
      </w:pPr>
      <w:r w:rsidRPr="00455729">
        <w:rPr>
          <w:b/>
          <w:bCs/>
          <w:sz w:val="22"/>
          <w:szCs w:val="22"/>
        </w:rPr>
        <w:t>Čl. 3 Hodnocení žáka a absence</w:t>
      </w:r>
    </w:p>
    <w:p w:rsidR="00257C54" w:rsidRPr="00455729" w:rsidRDefault="00257C54" w:rsidP="00257C54">
      <w:pPr>
        <w:numPr>
          <w:ilvl w:val="0"/>
          <w:numId w:val="7"/>
        </w:numPr>
        <w:autoSpaceDE w:val="0"/>
        <w:autoSpaceDN w:val="0"/>
        <w:adjustRightInd w:val="0"/>
        <w:contextualSpacing/>
        <w:jc w:val="both"/>
        <w:rPr>
          <w:bCs/>
        </w:rPr>
      </w:pPr>
      <w:r w:rsidRPr="00455729">
        <w:rPr>
          <w:sz w:val="22"/>
          <w:szCs w:val="22"/>
        </w:rPr>
        <w:t xml:space="preserve">V případě nepřítomnosti žáka ve škole v době získávání klasifikačních podkladů je plně na rozhodnutí učitele, zda mu poskytne náhradní termín, není-li stanoveno jinak. </w:t>
      </w:r>
    </w:p>
    <w:p w:rsidR="00257C54" w:rsidRPr="00455729" w:rsidRDefault="00257C54" w:rsidP="00257C54">
      <w:pPr>
        <w:numPr>
          <w:ilvl w:val="0"/>
          <w:numId w:val="7"/>
        </w:numPr>
        <w:autoSpaceDE w:val="0"/>
        <w:autoSpaceDN w:val="0"/>
        <w:adjustRightInd w:val="0"/>
        <w:contextualSpacing/>
        <w:jc w:val="both"/>
        <w:rPr>
          <w:bCs/>
        </w:rPr>
      </w:pPr>
      <w:r w:rsidRPr="00455729">
        <w:rPr>
          <w:sz w:val="22"/>
          <w:szCs w:val="22"/>
        </w:rPr>
        <w:t>Žák má právo na to, aby nebyl hodnocen bezprostředně po svém příchodu do školy, pokud byla jeho předchozí omluvená nepřítomnost způsobena zdravotními důvody delšími než jeden týden, a to za podmínky, že se na začátku hodiny řádně omluví a že obsah hodnocení nebyl obsahem výuky nebo zadán ještě před počátkem jeho omluvené nepřítomnosti.</w:t>
      </w:r>
      <w:r w:rsidRPr="00455729">
        <w:t xml:space="preserve"> </w:t>
      </w:r>
    </w:p>
    <w:p w:rsidR="00257C54" w:rsidRPr="00455729" w:rsidRDefault="00257C54" w:rsidP="00257C54">
      <w:pPr>
        <w:numPr>
          <w:ilvl w:val="0"/>
          <w:numId w:val="7"/>
        </w:numPr>
        <w:autoSpaceDE w:val="0"/>
        <w:autoSpaceDN w:val="0"/>
        <w:adjustRightInd w:val="0"/>
        <w:contextualSpacing/>
        <w:jc w:val="both"/>
        <w:rPr>
          <w:bCs/>
        </w:rPr>
      </w:pPr>
      <w:r w:rsidRPr="00455729">
        <w:lastRenderedPageBreak/>
        <w:t>V případě, že je žák ve výuce nepřítomen z důvodu účasti na školní akci (včetně reprezentace školy), musí mu vyučující umožnit doplnění všech forem hodnocení za podmínky, že s ním v předstihu (před konáním akce) projednal způsob jejich doplnění.</w:t>
      </w:r>
    </w:p>
    <w:p w:rsidR="00257C54" w:rsidRPr="00455729" w:rsidRDefault="00257C54" w:rsidP="00257C54">
      <w:pPr>
        <w:numPr>
          <w:ilvl w:val="0"/>
          <w:numId w:val="7"/>
        </w:numPr>
        <w:autoSpaceDE w:val="0"/>
        <w:autoSpaceDN w:val="0"/>
        <w:adjustRightInd w:val="0"/>
        <w:contextualSpacing/>
        <w:jc w:val="both"/>
        <w:rPr>
          <w:bCs/>
        </w:rPr>
      </w:pPr>
      <w:r w:rsidRPr="00455729">
        <w:t>Pokud žák chybí ve škole ze závažných (zejména zdravotních) důvodů více než souvislých deset vyučovacích dní, je možno mu individuálně upravit termíny klasifikace. To se týká i situace, kdy přítomen sice je, ale má zdravotní omezení (např. zlomená ruka, noha apod.), které mu neumožňuje absolvovat některou z forem hodnocení.</w:t>
      </w:r>
    </w:p>
    <w:p w:rsidR="00257C54" w:rsidRPr="00455729" w:rsidRDefault="00257C54" w:rsidP="00257C54">
      <w:pPr>
        <w:numPr>
          <w:ilvl w:val="0"/>
          <w:numId w:val="7"/>
        </w:numPr>
        <w:autoSpaceDE w:val="0"/>
        <w:autoSpaceDN w:val="0"/>
        <w:adjustRightInd w:val="0"/>
        <w:contextualSpacing/>
        <w:jc w:val="both"/>
        <w:rPr>
          <w:bCs/>
        </w:rPr>
      </w:pPr>
      <w:r w:rsidRPr="00455729">
        <w:rPr>
          <w:sz w:val="22"/>
          <w:szCs w:val="22"/>
        </w:rPr>
        <w:t>Žáci mají právo na individuální konzultaci před termínem případného ověřování tématu v případě, že byla látka zadána k samostatnému nastudování a byli předem seznámeni s tím, jak má být osvojena a v jakém rozsahu a jakou formou bude ověřována. Tento způsob může být použit výjimečně, pouze jako doplňková forma výuky i klasifikace.</w:t>
      </w:r>
      <w:r w:rsidRPr="00455729">
        <w:t xml:space="preserve"> </w:t>
      </w:r>
    </w:p>
    <w:p w:rsidR="00257C54" w:rsidRPr="00455729" w:rsidRDefault="00257C54" w:rsidP="00257C54">
      <w:pPr>
        <w:jc w:val="both"/>
      </w:pPr>
    </w:p>
    <w:p w:rsidR="00257C54" w:rsidRPr="00455729" w:rsidRDefault="00257C54" w:rsidP="00257C54">
      <w:pPr>
        <w:jc w:val="both"/>
        <w:rPr>
          <w:b/>
          <w:sz w:val="22"/>
          <w:szCs w:val="22"/>
        </w:rPr>
      </w:pPr>
      <w:r w:rsidRPr="00455729">
        <w:rPr>
          <w:b/>
          <w:sz w:val="22"/>
          <w:szCs w:val="22"/>
        </w:rPr>
        <w:t>Čl. 4 Další ustanovení</w:t>
      </w:r>
    </w:p>
    <w:p w:rsidR="00257C54" w:rsidRPr="00455729" w:rsidRDefault="00257C54" w:rsidP="00257C54">
      <w:pPr>
        <w:numPr>
          <w:ilvl w:val="0"/>
          <w:numId w:val="8"/>
        </w:numPr>
        <w:jc w:val="both"/>
        <w:rPr>
          <w:sz w:val="22"/>
          <w:szCs w:val="22"/>
        </w:rPr>
      </w:pPr>
      <w:r w:rsidRPr="00455729">
        <w:rPr>
          <w:sz w:val="22"/>
          <w:szCs w:val="22"/>
        </w:rPr>
        <w:t>Není-li v den odevzdání práce, popř. ve stanoveném termínu testu přítomen vyučující a není-li určeno jinak, přesouvá se termín odevzdání práce či testu na nejbližší hodinu výuky daného předmětu.</w:t>
      </w:r>
    </w:p>
    <w:p w:rsidR="00257C54" w:rsidRPr="00455729" w:rsidRDefault="00257C54" w:rsidP="00257C54">
      <w:pPr>
        <w:numPr>
          <w:ilvl w:val="0"/>
          <w:numId w:val="8"/>
        </w:numPr>
        <w:jc w:val="both"/>
        <w:rPr>
          <w:sz w:val="22"/>
          <w:szCs w:val="22"/>
        </w:rPr>
      </w:pPr>
      <w:r w:rsidRPr="00455729">
        <w:rPr>
          <w:sz w:val="22"/>
          <w:szCs w:val="22"/>
        </w:rPr>
        <w:t>Pravidla klasifikace mohou být upravena s ohledem na vyučovací předmět, ročník a mimořádné okolnosti, které mohou během klasifikačního období nastat. Vyučující změny se studenty vždy projedná.</w:t>
      </w:r>
    </w:p>
    <w:p w:rsidR="00257C54" w:rsidRPr="00455729" w:rsidRDefault="00257C54" w:rsidP="00257C54">
      <w:pPr>
        <w:numPr>
          <w:ilvl w:val="0"/>
          <w:numId w:val="8"/>
        </w:numPr>
        <w:jc w:val="both"/>
        <w:rPr>
          <w:sz w:val="22"/>
          <w:szCs w:val="22"/>
        </w:rPr>
      </w:pPr>
      <w:r w:rsidRPr="00455729">
        <w:rPr>
          <w:sz w:val="22"/>
          <w:szCs w:val="22"/>
        </w:rPr>
        <w:t>V ojedinělých případech zvlášť hodných zřetele může vyučující žáku umožnit vypracování náhradní práce a nezapočítat mu původně dosažené skóre. V případě, že by hodnocení této dobrovolné práce mělo negativně ovlivnit skóre (její výsledek by byl nižší než dosavadní průměr v daném bloku/oddíle/formě), bude tento nový výsledek hodnocen v rámci aktivity.</w:t>
      </w:r>
    </w:p>
    <w:p w:rsidR="00084609" w:rsidRDefault="00257C54" w:rsidP="00257C54">
      <w:pPr>
        <w:numPr>
          <w:ilvl w:val="0"/>
          <w:numId w:val="8"/>
        </w:numPr>
        <w:jc w:val="both"/>
        <w:rPr>
          <w:sz w:val="22"/>
          <w:szCs w:val="22"/>
        </w:rPr>
      </w:pPr>
      <w:r w:rsidRPr="00455729">
        <w:rPr>
          <w:sz w:val="22"/>
          <w:szCs w:val="22"/>
        </w:rPr>
        <w:t>U žáka, jemuž je schválen institut nezapočítávané absence nebo individuální studijní plán, je vyučující povinen zohlednit předpokládanou míru absence žáka při stanovení zvláštních podmínek jeho klasifikace.</w:t>
      </w:r>
      <w:r w:rsidR="00084609">
        <w:rPr>
          <w:sz w:val="22"/>
          <w:szCs w:val="22"/>
        </w:rPr>
        <w:t xml:space="preserve"> </w:t>
      </w:r>
    </w:p>
    <w:p w:rsidR="00257C54" w:rsidRPr="00E55F58" w:rsidRDefault="00084609" w:rsidP="00257C54">
      <w:pPr>
        <w:numPr>
          <w:ilvl w:val="0"/>
          <w:numId w:val="8"/>
        </w:numPr>
        <w:jc w:val="both"/>
        <w:rPr>
          <w:sz w:val="22"/>
          <w:szCs w:val="22"/>
        </w:rPr>
      </w:pPr>
      <w:r w:rsidRPr="00E55F58">
        <w:rPr>
          <w:sz w:val="22"/>
          <w:szCs w:val="22"/>
        </w:rPr>
        <w:t xml:space="preserve">Při </w:t>
      </w:r>
      <w:proofErr w:type="spellStart"/>
      <w:r w:rsidRPr="00E55F58">
        <w:rPr>
          <w:sz w:val="22"/>
          <w:szCs w:val="22"/>
        </w:rPr>
        <w:t>doklasifikaci</w:t>
      </w:r>
      <w:proofErr w:type="spellEnd"/>
      <w:r w:rsidRPr="00E55F58">
        <w:rPr>
          <w:sz w:val="22"/>
          <w:szCs w:val="22"/>
        </w:rPr>
        <w:t xml:space="preserve"> z důvodu vysoké absence </w:t>
      </w:r>
      <w:r w:rsidRPr="00E55F58">
        <w:t>váha známky odpovídá % absence.</w:t>
      </w:r>
    </w:p>
    <w:p w:rsidR="00257C54" w:rsidRPr="00455729" w:rsidRDefault="00257C54" w:rsidP="00257C54">
      <w:pPr>
        <w:numPr>
          <w:ilvl w:val="0"/>
          <w:numId w:val="8"/>
        </w:numPr>
        <w:jc w:val="both"/>
        <w:rPr>
          <w:sz w:val="22"/>
          <w:szCs w:val="22"/>
        </w:rPr>
      </w:pPr>
      <w:r w:rsidRPr="00455729">
        <w:rPr>
          <w:sz w:val="22"/>
          <w:szCs w:val="22"/>
        </w:rPr>
        <w:t>Další pravidla klasifikace vyplývají z klasifikačního řádu školy.</w:t>
      </w:r>
    </w:p>
    <w:p w:rsidR="00257C54" w:rsidRPr="00455729" w:rsidRDefault="00257C54" w:rsidP="00257C54">
      <w:pPr>
        <w:ind w:left="720"/>
        <w:jc w:val="both"/>
      </w:pPr>
    </w:p>
    <w:p w:rsidR="00257C54" w:rsidRPr="00455729" w:rsidRDefault="00257C54" w:rsidP="00257C54">
      <w:pPr>
        <w:jc w:val="both"/>
      </w:pPr>
    </w:p>
    <w:p w:rsidR="00257C54" w:rsidRPr="00455729" w:rsidRDefault="00257C54" w:rsidP="00257C54"/>
    <w:p w:rsidR="00257C54" w:rsidRPr="00455729" w:rsidRDefault="00257C54" w:rsidP="00257C54"/>
    <w:p w:rsidR="00257C54" w:rsidRPr="00455729" w:rsidRDefault="00257C54" w:rsidP="00257C54">
      <w:pPr>
        <w:autoSpaceDE w:val="0"/>
        <w:autoSpaceDN w:val="0"/>
        <w:adjustRightInd w:val="0"/>
        <w:rPr>
          <w:sz w:val="22"/>
          <w:szCs w:val="22"/>
        </w:rPr>
      </w:pPr>
    </w:p>
    <w:p w:rsidR="00257C54" w:rsidRPr="00455729" w:rsidRDefault="00257C54" w:rsidP="00257C54">
      <w:pPr>
        <w:autoSpaceDE w:val="0"/>
        <w:autoSpaceDN w:val="0"/>
        <w:adjustRightInd w:val="0"/>
        <w:rPr>
          <w:sz w:val="22"/>
          <w:szCs w:val="22"/>
        </w:rPr>
      </w:pPr>
    </w:p>
    <w:p w:rsidR="00257C54" w:rsidRPr="00455729" w:rsidRDefault="00257C54" w:rsidP="00451374">
      <w:pPr>
        <w:autoSpaceDE w:val="0"/>
        <w:autoSpaceDN w:val="0"/>
        <w:adjustRightInd w:val="0"/>
        <w:ind w:left="4956" w:firstLine="708"/>
        <w:rPr>
          <w:sz w:val="22"/>
          <w:szCs w:val="22"/>
        </w:rPr>
      </w:pPr>
      <w:bookmarkStart w:id="0" w:name="_GoBack"/>
      <w:bookmarkEnd w:id="0"/>
      <w:r w:rsidRPr="00455729">
        <w:rPr>
          <w:sz w:val="22"/>
          <w:szCs w:val="22"/>
        </w:rPr>
        <w:t>……</w:t>
      </w:r>
      <w:r w:rsidR="00451374">
        <w:rPr>
          <w:sz w:val="22"/>
          <w:szCs w:val="22"/>
        </w:rPr>
        <w:t>..</w:t>
      </w:r>
      <w:r w:rsidRPr="00455729">
        <w:rPr>
          <w:sz w:val="22"/>
          <w:szCs w:val="22"/>
        </w:rPr>
        <w:t>………………</w:t>
      </w:r>
      <w:r w:rsidR="00451374">
        <w:rPr>
          <w:sz w:val="22"/>
          <w:szCs w:val="22"/>
        </w:rPr>
        <w:t>…….</w:t>
      </w:r>
      <w:r w:rsidRPr="00455729">
        <w:rPr>
          <w:sz w:val="22"/>
          <w:szCs w:val="22"/>
        </w:rPr>
        <w:t>………….</w:t>
      </w:r>
    </w:p>
    <w:p w:rsidR="00257C54" w:rsidRPr="00455729" w:rsidRDefault="00451374" w:rsidP="00451374">
      <w:pPr>
        <w:autoSpaceDE w:val="0"/>
        <w:autoSpaceDN w:val="0"/>
        <w:adjustRightInd w:val="0"/>
        <w:ind w:left="4956" w:firstLine="708"/>
        <w:rPr>
          <w:sz w:val="22"/>
          <w:szCs w:val="22"/>
        </w:rPr>
      </w:pPr>
      <w:r>
        <w:rPr>
          <w:sz w:val="22"/>
          <w:szCs w:val="22"/>
        </w:rPr>
        <w:t>Mgr. Bc. Matěj Ondřej Havel, Ph.D.</w:t>
      </w:r>
    </w:p>
    <w:p w:rsidR="00257C54" w:rsidRPr="00455729" w:rsidRDefault="00471E39" w:rsidP="00257C54">
      <w:pPr>
        <w:autoSpaceDE w:val="0"/>
        <w:autoSpaceDN w:val="0"/>
        <w:adjustRightInd w:val="0"/>
        <w:ind w:firstLine="7020"/>
        <w:rPr>
          <w:sz w:val="22"/>
          <w:szCs w:val="22"/>
        </w:rPr>
      </w:pPr>
      <w:r>
        <w:rPr>
          <w:sz w:val="22"/>
          <w:szCs w:val="22"/>
        </w:rPr>
        <w:t>ř</w:t>
      </w:r>
      <w:r w:rsidR="00257C54" w:rsidRPr="00455729">
        <w:rPr>
          <w:sz w:val="22"/>
          <w:szCs w:val="22"/>
        </w:rPr>
        <w:t>editel školy</w:t>
      </w:r>
    </w:p>
    <w:p w:rsidR="006E2E07" w:rsidRPr="00455729" w:rsidRDefault="006E2E07" w:rsidP="00257C54">
      <w:pPr>
        <w:rPr>
          <w:b/>
        </w:rPr>
      </w:pPr>
    </w:p>
    <w:sectPr w:rsidR="006E2E07" w:rsidRPr="00455729" w:rsidSect="006562B3">
      <w:headerReference w:type="default" r:id="rId8"/>
      <w:footerReference w:type="default" r:id="rId9"/>
      <w:pgSz w:w="11906" w:h="16838"/>
      <w:pgMar w:top="709" w:right="1134" w:bottom="851"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9F2" w:rsidRDefault="001E59F2" w:rsidP="0064732C">
      <w:r>
        <w:separator/>
      </w:r>
    </w:p>
  </w:endnote>
  <w:endnote w:type="continuationSeparator" w:id="0">
    <w:p w:rsidR="001E59F2" w:rsidRDefault="001E59F2" w:rsidP="0064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27" w:rsidRPr="0064732C" w:rsidRDefault="001E263C" w:rsidP="0064732C">
    <w:pPr>
      <w:pStyle w:val="Zpat"/>
      <w:pBdr>
        <w:top w:val="single" w:sz="4" w:space="1" w:color="auto"/>
      </w:pBdr>
      <w:tabs>
        <w:tab w:val="clear" w:pos="4536"/>
        <w:tab w:val="clear" w:pos="9072"/>
        <w:tab w:val="right" w:pos="9687"/>
      </w:tabs>
      <w:ind w:right="-90"/>
      <w:rPr>
        <w:rFonts w:ascii="Arial" w:hAnsi="Arial" w:cs="Arial"/>
        <w:b/>
        <w:i/>
        <w:noProof/>
        <w:sz w:val="18"/>
        <w:szCs w:val="18"/>
      </w:rPr>
    </w:pPr>
    <w:r>
      <w:rPr>
        <w:rFonts w:ascii="Arial" w:hAnsi="Arial" w:cs="Arial"/>
        <w:b/>
        <w:i/>
        <w:sz w:val="18"/>
        <w:szCs w:val="18"/>
      </w:rPr>
      <w:t>Školní řád</w:t>
    </w:r>
    <w:r w:rsidR="00A94227" w:rsidRPr="0064732C">
      <w:rPr>
        <w:rFonts w:ascii="Arial" w:hAnsi="Arial" w:cs="Arial"/>
        <w:b/>
        <w:i/>
        <w:sz w:val="18"/>
        <w:szCs w:val="18"/>
      </w:rPr>
      <w:tab/>
    </w:r>
    <w:r w:rsidR="00D90D4F" w:rsidRPr="0064732C">
      <w:rPr>
        <w:rFonts w:ascii="Arial" w:hAnsi="Arial" w:cs="Arial"/>
        <w:b/>
        <w:i/>
        <w:noProof/>
        <w:sz w:val="18"/>
        <w:szCs w:val="18"/>
      </w:rPr>
      <w:fldChar w:fldCharType="begin"/>
    </w:r>
    <w:r w:rsidR="00A94227" w:rsidRPr="0064732C">
      <w:rPr>
        <w:rFonts w:ascii="Arial" w:hAnsi="Arial" w:cs="Arial"/>
        <w:b/>
        <w:i/>
        <w:noProof/>
        <w:sz w:val="18"/>
        <w:szCs w:val="18"/>
      </w:rPr>
      <w:instrText xml:space="preserve"> PAGE </w:instrText>
    </w:r>
    <w:r w:rsidR="00D90D4F" w:rsidRPr="0064732C">
      <w:rPr>
        <w:rFonts w:ascii="Arial" w:hAnsi="Arial" w:cs="Arial"/>
        <w:b/>
        <w:i/>
        <w:noProof/>
        <w:sz w:val="18"/>
        <w:szCs w:val="18"/>
      </w:rPr>
      <w:fldChar w:fldCharType="separate"/>
    </w:r>
    <w:r w:rsidR="00E55F58">
      <w:rPr>
        <w:rFonts w:ascii="Arial" w:hAnsi="Arial" w:cs="Arial"/>
        <w:b/>
        <w:i/>
        <w:noProof/>
        <w:sz w:val="18"/>
        <w:szCs w:val="18"/>
      </w:rPr>
      <w:t>2</w:t>
    </w:r>
    <w:r w:rsidR="00D90D4F" w:rsidRPr="0064732C">
      <w:rPr>
        <w:rFonts w:ascii="Arial" w:hAnsi="Arial" w:cs="Arial"/>
        <w:b/>
        <w:i/>
        <w:noProof/>
        <w:sz w:val="18"/>
        <w:szCs w:val="18"/>
      </w:rPr>
      <w:fldChar w:fldCharType="end"/>
    </w:r>
    <w:r w:rsidR="00A94227" w:rsidRPr="0064732C">
      <w:rPr>
        <w:rFonts w:ascii="Arial" w:hAnsi="Arial" w:cs="Arial"/>
        <w:b/>
        <w:i/>
        <w:noProof/>
        <w:sz w:val="18"/>
        <w:szCs w:val="18"/>
      </w:rPr>
      <w:t>/</w:t>
    </w:r>
    <w:r w:rsidR="00D90D4F" w:rsidRPr="0064732C">
      <w:rPr>
        <w:rFonts w:ascii="Arial" w:hAnsi="Arial" w:cs="Arial"/>
        <w:b/>
        <w:i/>
        <w:noProof/>
        <w:sz w:val="18"/>
        <w:szCs w:val="18"/>
      </w:rPr>
      <w:fldChar w:fldCharType="begin"/>
    </w:r>
    <w:r w:rsidR="00A94227" w:rsidRPr="0064732C">
      <w:rPr>
        <w:rFonts w:ascii="Arial" w:hAnsi="Arial" w:cs="Arial"/>
        <w:b/>
        <w:i/>
        <w:noProof/>
        <w:sz w:val="18"/>
        <w:szCs w:val="18"/>
      </w:rPr>
      <w:instrText xml:space="preserve"> NUMPAGES </w:instrText>
    </w:r>
    <w:r w:rsidR="00D90D4F" w:rsidRPr="0064732C">
      <w:rPr>
        <w:rFonts w:ascii="Arial" w:hAnsi="Arial" w:cs="Arial"/>
        <w:b/>
        <w:i/>
        <w:noProof/>
        <w:sz w:val="18"/>
        <w:szCs w:val="18"/>
      </w:rPr>
      <w:fldChar w:fldCharType="separate"/>
    </w:r>
    <w:r w:rsidR="00E55F58">
      <w:rPr>
        <w:rFonts w:ascii="Arial" w:hAnsi="Arial" w:cs="Arial"/>
        <w:b/>
        <w:i/>
        <w:noProof/>
        <w:sz w:val="18"/>
        <w:szCs w:val="18"/>
      </w:rPr>
      <w:t>4</w:t>
    </w:r>
    <w:r w:rsidR="00D90D4F" w:rsidRPr="0064732C">
      <w:rPr>
        <w:rFonts w:ascii="Arial" w:hAnsi="Arial" w:cs="Arial"/>
        <w:b/>
        <w:i/>
        <w:noProof/>
        <w:sz w:val="18"/>
        <w:szCs w:val="18"/>
      </w:rPr>
      <w:fldChar w:fldCharType="end"/>
    </w:r>
  </w:p>
  <w:p w:rsidR="00A94227" w:rsidRPr="0064732C" w:rsidRDefault="00A201B4" w:rsidP="0064732C">
    <w:pPr>
      <w:pStyle w:val="Zpat"/>
      <w:pBdr>
        <w:top w:val="single" w:sz="4" w:space="1" w:color="auto"/>
      </w:pBdr>
      <w:tabs>
        <w:tab w:val="clear" w:pos="4536"/>
        <w:tab w:val="clear" w:pos="9072"/>
        <w:tab w:val="right" w:pos="9687"/>
      </w:tabs>
      <w:ind w:right="-90"/>
      <w:rPr>
        <w:b/>
        <w:szCs w:val="18"/>
      </w:rPr>
    </w:pPr>
    <w:r>
      <w:rPr>
        <w:rFonts w:ascii="Arial" w:hAnsi="Arial" w:cs="Arial"/>
        <w:b/>
        <w:i/>
        <w:noProof/>
        <w:sz w:val="18"/>
        <w:szCs w:val="18"/>
      </w:rPr>
      <w:t xml:space="preserve">Tisk: </w:t>
    </w:r>
    <w:r>
      <w:rPr>
        <w:rFonts w:ascii="Arial" w:hAnsi="Arial" w:cs="Arial"/>
        <w:b/>
        <w:i/>
        <w:noProof/>
        <w:sz w:val="18"/>
        <w:szCs w:val="18"/>
      </w:rPr>
      <w:fldChar w:fldCharType="begin"/>
    </w:r>
    <w:r>
      <w:rPr>
        <w:rFonts w:ascii="Arial" w:hAnsi="Arial" w:cs="Arial"/>
        <w:b/>
        <w:i/>
        <w:noProof/>
        <w:sz w:val="18"/>
        <w:szCs w:val="18"/>
      </w:rPr>
      <w:instrText xml:space="preserve"> TIME \@ "dd.MM.yyyy" </w:instrText>
    </w:r>
    <w:r>
      <w:rPr>
        <w:rFonts w:ascii="Arial" w:hAnsi="Arial" w:cs="Arial"/>
        <w:b/>
        <w:i/>
        <w:noProof/>
        <w:sz w:val="18"/>
        <w:szCs w:val="18"/>
      </w:rPr>
      <w:fldChar w:fldCharType="separate"/>
    </w:r>
    <w:r w:rsidR="00E55F58">
      <w:rPr>
        <w:rFonts w:ascii="Arial" w:hAnsi="Arial" w:cs="Arial"/>
        <w:b/>
        <w:i/>
        <w:noProof/>
        <w:sz w:val="18"/>
        <w:szCs w:val="18"/>
      </w:rPr>
      <w:t>27.08.2019</w:t>
    </w:r>
    <w:r>
      <w:rPr>
        <w:rFonts w:ascii="Arial" w:hAnsi="Arial" w:cs="Arial"/>
        <w:b/>
        <w:i/>
        <w:noProof/>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9F2" w:rsidRDefault="001E59F2" w:rsidP="0064732C">
      <w:r>
        <w:separator/>
      </w:r>
    </w:p>
  </w:footnote>
  <w:footnote w:type="continuationSeparator" w:id="0">
    <w:p w:rsidR="001E59F2" w:rsidRDefault="001E59F2" w:rsidP="006473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27" w:rsidRDefault="00A94227" w:rsidP="0064732C">
    <w:pPr>
      <w:pStyle w:val="Zhlav"/>
      <w:rPr>
        <w:b/>
      </w:rPr>
    </w:pPr>
    <w:r>
      <w:rPr>
        <w:b/>
        <w:noProof/>
      </w:rPr>
      <w:drawing>
        <wp:anchor distT="0" distB="0" distL="114300" distR="114300" simplePos="0" relativeHeight="251659264" behindDoc="1" locked="0" layoutInCell="1" allowOverlap="1">
          <wp:simplePos x="0" y="0"/>
          <wp:positionH relativeFrom="column">
            <wp:posOffset>5556885</wp:posOffset>
          </wp:positionH>
          <wp:positionV relativeFrom="paragraph">
            <wp:posOffset>-84455</wp:posOffset>
          </wp:positionV>
          <wp:extent cx="563880" cy="581025"/>
          <wp:effectExtent l="19050" t="0" r="7620" b="0"/>
          <wp:wrapNone/>
          <wp:docPr id="1" name="obrázek 1" descr="log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cb"/>
                  <pic:cNvPicPr>
                    <a:picLocks noChangeAspect="1" noChangeArrowheads="1"/>
                  </pic:cNvPicPr>
                </pic:nvPicPr>
                <pic:blipFill>
                  <a:blip r:embed="rId1"/>
                  <a:srcRect/>
                  <a:stretch>
                    <a:fillRect/>
                  </a:stretch>
                </pic:blipFill>
                <pic:spPr bwMode="auto">
                  <a:xfrm>
                    <a:off x="0" y="0"/>
                    <a:ext cx="563880" cy="581025"/>
                  </a:xfrm>
                  <a:prstGeom prst="rect">
                    <a:avLst/>
                  </a:prstGeom>
                  <a:noFill/>
                  <a:ln w="9525">
                    <a:noFill/>
                    <a:miter lim="800000"/>
                    <a:headEnd/>
                    <a:tailEnd/>
                  </a:ln>
                </pic:spPr>
              </pic:pic>
            </a:graphicData>
          </a:graphic>
        </wp:anchor>
      </w:drawing>
    </w:r>
  </w:p>
  <w:p w:rsidR="00A94227" w:rsidRPr="006122AF" w:rsidRDefault="00A94227" w:rsidP="0064732C">
    <w:pPr>
      <w:pStyle w:val="Zhlav"/>
      <w:rPr>
        <w:b/>
      </w:rPr>
    </w:pPr>
    <w:r w:rsidRPr="006122AF">
      <w:rPr>
        <w:b/>
      </w:rPr>
      <w:t xml:space="preserve">GYMNÁZIUM J. K. TYLA, HRADEC KRÁLOVÉ                 </w:t>
    </w:r>
  </w:p>
  <w:p w:rsidR="00A94227" w:rsidRDefault="00A94227" w:rsidP="0064732C">
    <w:pPr>
      <w:pStyle w:val="Zhlav"/>
      <w:pBdr>
        <w:bottom w:val="single" w:sz="4" w:space="1" w:color="auto"/>
      </w:pBdr>
      <w:rPr>
        <w:b/>
      </w:rPr>
    </w:pPr>
    <w:r w:rsidRPr="006122AF">
      <w:rPr>
        <w:b/>
      </w:rPr>
      <w:t xml:space="preserve">Tylovo nábřeží 682, PSČ 500 02                                                                </w:t>
    </w:r>
  </w:p>
  <w:p w:rsidR="00A94227" w:rsidRPr="006122AF" w:rsidRDefault="00A94227" w:rsidP="0064732C">
    <w:pPr>
      <w:pStyle w:val="Zhlav"/>
      <w:rPr>
        <w:b/>
        <w:sz w:val="16"/>
        <w:szCs w:val="16"/>
      </w:rPr>
    </w:pPr>
  </w:p>
  <w:p w:rsidR="00A94227" w:rsidRPr="001E263C" w:rsidRDefault="00257C54" w:rsidP="0064732C">
    <w:pPr>
      <w:pStyle w:val="Zhlav"/>
      <w:rPr>
        <w:sz w:val="28"/>
        <w:szCs w:val="28"/>
      </w:rPr>
    </w:pPr>
    <w:r>
      <w:rPr>
        <w:b/>
        <w:sz w:val="28"/>
        <w:szCs w:val="28"/>
      </w:rPr>
      <w:t xml:space="preserve">Příloha č. 1 </w:t>
    </w:r>
    <w:r w:rsidR="009C36FF">
      <w:rPr>
        <w:b/>
        <w:sz w:val="28"/>
        <w:szCs w:val="28"/>
      </w:rPr>
      <w:t>Š</w:t>
    </w:r>
    <w:r>
      <w:rPr>
        <w:b/>
        <w:sz w:val="28"/>
        <w:szCs w:val="28"/>
      </w:rPr>
      <w:t>kolního řádu Principy klasifikace na GJKT</w:t>
    </w:r>
    <w:r w:rsidR="001E263C" w:rsidRPr="001E263C">
      <w:rPr>
        <w:b/>
        <w:sz w:val="28"/>
        <w:szCs w:val="28"/>
      </w:rPr>
      <w:tab/>
    </w:r>
    <w:r w:rsidR="00A94227" w:rsidRPr="001E263C">
      <w:rPr>
        <w:sz w:val="28"/>
        <w:szCs w:val="28"/>
      </w:rPr>
      <w:tab/>
    </w:r>
  </w:p>
  <w:p w:rsidR="00A94227" w:rsidRPr="006122AF" w:rsidRDefault="00A94227" w:rsidP="0064732C">
    <w:pPr>
      <w:pStyle w:val="Zhlav"/>
    </w:pPr>
    <w:r>
      <w:t>Vypracoval</w:t>
    </w:r>
    <w:r w:rsidRPr="006122AF">
      <w:t xml:space="preserve">: </w:t>
    </w:r>
    <w:r w:rsidR="001E263C">
      <w:t>Ředitel školy</w:t>
    </w:r>
    <w:r w:rsidR="001E263C">
      <w:tab/>
    </w:r>
    <w:r>
      <w:tab/>
      <w:t xml:space="preserve">platnost od: </w:t>
    </w:r>
    <w:r w:rsidR="00257C54">
      <w:t>14</w:t>
    </w:r>
    <w:r>
      <w:t xml:space="preserve">. </w:t>
    </w:r>
    <w:r w:rsidR="00257C54">
      <w:t>11</w:t>
    </w:r>
    <w:r>
      <w:t xml:space="preserve">. </w:t>
    </w:r>
    <w:r w:rsidR="001B4DEF">
      <w:t>20</w:t>
    </w:r>
    <w:r w:rsidR="00257C54">
      <w:t>1</w:t>
    </w:r>
    <w:r w:rsidR="001B4DEF">
      <w:t>6</w:t>
    </w:r>
  </w:p>
  <w:p w:rsidR="00A94227" w:rsidRDefault="00A94227" w:rsidP="0064732C">
    <w:pPr>
      <w:pStyle w:val="Zhlav"/>
    </w:pPr>
    <w:r w:rsidRPr="006122AF">
      <w:t>Schválil: Ředitel školy</w:t>
    </w:r>
    <w:r w:rsidR="001E263C">
      <w:t xml:space="preserve">, </w:t>
    </w:r>
    <w:r w:rsidR="00704DD4">
      <w:t>š</w:t>
    </w:r>
    <w:r w:rsidR="001E263C">
      <w:t>kolská rada GJKT</w:t>
    </w:r>
    <w:r w:rsidR="001E263C">
      <w:tab/>
    </w:r>
    <w:r w:rsidR="001E263C">
      <w:tab/>
    </w:r>
    <w:r w:rsidR="001E263C" w:rsidRPr="00CF66BC">
      <w:rPr>
        <w:b/>
      </w:rPr>
      <w:t>aktualizace</w:t>
    </w:r>
    <w:r w:rsidR="003B39E5">
      <w:rPr>
        <w:b/>
      </w:rPr>
      <w:t xml:space="preserve"> k</w:t>
    </w:r>
    <w:r w:rsidR="00625EA4">
      <w:rPr>
        <w:b/>
      </w:rPr>
      <w:t> 01. 09.2019</w:t>
    </w:r>
  </w:p>
  <w:p w:rsidR="00A94227" w:rsidRPr="006122AF" w:rsidRDefault="00D723D2" w:rsidP="0064732C">
    <w:pPr>
      <w:pStyle w:val="Zhlav"/>
    </w:pPr>
    <w:r>
      <w:rPr>
        <w:noProof/>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29845</wp:posOffset>
              </wp:positionV>
              <wp:extent cx="6238875" cy="0"/>
              <wp:effectExtent l="13335" t="10795" r="571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6365E" id="_x0000_t32" coordsize="21600,21600" o:spt="32" o:oned="t" path="m,l21600,21600e" filled="f">
              <v:path arrowok="t" fillok="f" o:connecttype="none"/>
              <o:lock v:ext="edit" shapetype="t"/>
            </v:shapetype>
            <v:shape id="AutoShape 1" o:spid="_x0000_s1026" type="#_x0000_t32" style="position:absolute;margin-left:-2.7pt;margin-top:2.35pt;width:49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5797"/>
    <w:multiLevelType w:val="hybridMultilevel"/>
    <w:tmpl w:val="0AA0D9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A932DF"/>
    <w:multiLevelType w:val="hybridMultilevel"/>
    <w:tmpl w:val="CB10B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296875"/>
    <w:multiLevelType w:val="hybridMultilevel"/>
    <w:tmpl w:val="3B7EDCA0"/>
    <w:lvl w:ilvl="0" w:tplc="04050017">
      <w:start w:val="1"/>
      <w:numFmt w:val="lowerLetter"/>
      <w:lvlText w:val="%1)"/>
      <w:lvlJc w:val="left"/>
      <w:pPr>
        <w:tabs>
          <w:tab w:val="num" w:pos="720"/>
        </w:tabs>
        <w:ind w:left="720" w:hanging="360"/>
      </w:pPr>
      <w:rPr>
        <w:rFont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38BA01B5"/>
    <w:multiLevelType w:val="hybridMultilevel"/>
    <w:tmpl w:val="317017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3CB07268"/>
    <w:multiLevelType w:val="hybridMultilevel"/>
    <w:tmpl w:val="A26444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507B42"/>
    <w:multiLevelType w:val="hybridMultilevel"/>
    <w:tmpl w:val="DC58AD5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FE4DDB"/>
    <w:multiLevelType w:val="hybridMultilevel"/>
    <w:tmpl w:val="02141420"/>
    <w:lvl w:ilvl="0" w:tplc="04050017">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C70CE3"/>
    <w:multiLevelType w:val="hybridMultilevel"/>
    <w:tmpl w:val="0C0443B0"/>
    <w:lvl w:ilvl="0" w:tplc="2AAED82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AD351A"/>
    <w:multiLevelType w:val="hybridMultilevel"/>
    <w:tmpl w:val="972AA2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0"/>
  </w:num>
  <w:num w:numId="6">
    <w:abstractNumId w:val="4"/>
  </w:num>
  <w:num w:numId="7">
    <w:abstractNumId w:val="6"/>
  </w:num>
  <w:num w:numId="8">
    <w:abstractNumId w:val="2"/>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FE"/>
    <w:rsid w:val="00041CA6"/>
    <w:rsid w:val="000725C1"/>
    <w:rsid w:val="00083356"/>
    <w:rsid w:val="00084609"/>
    <w:rsid w:val="000C76F9"/>
    <w:rsid w:val="000D09ED"/>
    <w:rsid w:val="000D1827"/>
    <w:rsid w:val="000F06B6"/>
    <w:rsid w:val="001000E4"/>
    <w:rsid w:val="0015559A"/>
    <w:rsid w:val="00156E6C"/>
    <w:rsid w:val="001808A9"/>
    <w:rsid w:val="00192C43"/>
    <w:rsid w:val="001B4DEF"/>
    <w:rsid w:val="001C66C3"/>
    <w:rsid w:val="001C67D8"/>
    <w:rsid w:val="001D712C"/>
    <w:rsid w:val="001E263C"/>
    <w:rsid w:val="001E3BF5"/>
    <w:rsid w:val="001E59F2"/>
    <w:rsid w:val="001F2C4D"/>
    <w:rsid w:val="002348D9"/>
    <w:rsid w:val="00243AF3"/>
    <w:rsid w:val="00257C54"/>
    <w:rsid w:val="0028133E"/>
    <w:rsid w:val="002A1358"/>
    <w:rsid w:val="002C7B83"/>
    <w:rsid w:val="002E2CF1"/>
    <w:rsid w:val="002E4241"/>
    <w:rsid w:val="002E5873"/>
    <w:rsid w:val="002E63D1"/>
    <w:rsid w:val="002F7CC4"/>
    <w:rsid w:val="00303598"/>
    <w:rsid w:val="003445AB"/>
    <w:rsid w:val="0036768C"/>
    <w:rsid w:val="00376133"/>
    <w:rsid w:val="00385551"/>
    <w:rsid w:val="0038736B"/>
    <w:rsid w:val="003903A8"/>
    <w:rsid w:val="003A5581"/>
    <w:rsid w:val="003B39E5"/>
    <w:rsid w:val="004107D2"/>
    <w:rsid w:val="00425F09"/>
    <w:rsid w:val="0044509D"/>
    <w:rsid w:val="00451374"/>
    <w:rsid w:val="004530B5"/>
    <w:rsid w:val="00453A70"/>
    <w:rsid w:val="00455729"/>
    <w:rsid w:val="00471E39"/>
    <w:rsid w:val="004A00DE"/>
    <w:rsid w:val="004B1752"/>
    <w:rsid w:val="004D04D4"/>
    <w:rsid w:val="004D6159"/>
    <w:rsid w:val="004E0997"/>
    <w:rsid w:val="00514BA9"/>
    <w:rsid w:val="0051513B"/>
    <w:rsid w:val="00541AB7"/>
    <w:rsid w:val="00551546"/>
    <w:rsid w:val="0056360F"/>
    <w:rsid w:val="00576763"/>
    <w:rsid w:val="005770FD"/>
    <w:rsid w:val="00596640"/>
    <w:rsid w:val="0059790D"/>
    <w:rsid w:val="005B414C"/>
    <w:rsid w:val="005C040F"/>
    <w:rsid w:val="005D04DE"/>
    <w:rsid w:val="005D1730"/>
    <w:rsid w:val="005F510B"/>
    <w:rsid w:val="00620C0A"/>
    <w:rsid w:val="006233FD"/>
    <w:rsid w:val="00625DD1"/>
    <w:rsid w:val="00625EA4"/>
    <w:rsid w:val="006343B9"/>
    <w:rsid w:val="00634BED"/>
    <w:rsid w:val="00635A23"/>
    <w:rsid w:val="00640B8E"/>
    <w:rsid w:val="0064732C"/>
    <w:rsid w:val="006562B3"/>
    <w:rsid w:val="00657306"/>
    <w:rsid w:val="0068112E"/>
    <w:rsid w:val="00697A9D"/>
    <w:rsid w:val="006B0F6B"/>
    <w:rsid w:val="006C52C2"/>
    <w:rsid w:val="006C6C2B"/>
    <w:rsid w:val="006E13F8"/>
    <w:rsid w:val="006E2E07"/>
    <w:rsid w:val="006F73AA"/>
    <w:rsid w:val="00704DD4"/>
    <w:rsid w:val="007218F4"/>
    <w:rsid w:val="00722CAD"/>
    <w:rsid w:val="00732DFE"/>
    <w:rsid w:val="00755914"/>
    <w:rsid w:val="00764364"/>
    <w:rsid w:val="007818DF"/>
    <w:rsid w:val="00795ED0"/>
    <w:rsid w:val="00797696"/>
    <w:rsid w:val="007A1C9B"/>
    <w:rsid w:val="007A3817"/>
    <w:rsid w:val="007A535B"/>
    <w:rsid w:val="007A5764"/>
    <w:rsid w:val="007A7435"/>
    <w:rsid w:val="007B1088"/>
    <w:rsid w:val="007B34BE"/>
    <w:rsid w:val="007E2173"/>
    <w:rsid w:val="008112FE"/>
    <w:rsid w:val="008334E8"/>
    <w:rsid w:val="00841BBB"/>
    <w:rsid w:val="00843761"/>
    <w:rsid w:val="00882C40"/>
    <w:rsid w:val="00896427"/>
    <w:rsid w:val="008B4612"/>
    <w:rsid w:val="008C7965"/>
    <w:rsid w:val="008D4E87"/>
    <w:rsid w:val="008D576C"/>
    <w:rsid w:val="00904F36"/>
    <w:rsid w:val="0091219C"/>
    <w:rsid w:val="00945D23"/>
    <w:rsid w:val="0097113C"/>
    <w:rsid w:val="009C19B1"/>
    <w:rsid w:val="009C36FF"/>
    <w:rsid w:val="009D25D0"/>
    <w:rsid w:val="009D6DCD"/>
    <w:rsid w:val="009E36F1"/>
    <w:rsid w:val="00A01EC0"/>
    <w:rsid w:val="00A104C0"/>
    <w:rsid w:val="00A14A55"/>
    <w:rsid w:val="00A201B4"/>
    <w:rsid w:val="00A31B02"/>
    <w:rsid w:val="00A843EB"/>
    <w:rsid w:val="00A92CE7"/>
    <w:rsid w:val="00A94227"/>
    <w:rsid w:val="00AE7DC1"/>
    <w:rsid w:val="00B213F1"/>
    <w:rsid w:val="00BA12CD"/>
    <w:rsid w:val="00BC0C66"/>
    <w:rsid w:val="00BC6DDA"/>
    <w:rsid w:val="00BE707C"/>
    <w:rsid w:val="00BF7386"/>
    <w:rsid w:val="00C02071"/>
    <w:rsid w:val="00C40412"/>
    <w:rsid w:val="00C43663"/>
    <w:rsid w:val="00C7403C"/>
    <w:rsid w:val="00C74B30"/>
    <w:rsid w:val="00C75A5F"/>
    <w:rsid w:val="00C80700"/>
    <w:rsid w:val="00C81C4E"/>
    <w:rsid w:val="00C92373"/>
    <w:rsid w:val="00CA0504"/>
    <w:rsid w:val="00CA39DF"/>
    <w:rsid w:val="00CA575C"/>
    <w:rsid w:val="00CA723F"/>
    <w:rsid w:val="00CB11E8"/>
    <w:rsid w:val="00CE28CF"/>
    <w:rsid w:val="00CF66BC"/>
    <w:rsid w:val="00D15FC8"/>
    <w:rsid w:val="00D51A2C"/>
    <w:rsid w:val="00D723D2"/>
    <w:rsid w:val="00D83B6D"/>
    <w:rsid w:val="00D85B70"/>
    <w:rsid w:val="00D90D4F"/>
    <w:rsid w:val="00D90FED"/>
    <w:rsid w:val="00D97C05"/>
    <w:rsid w:val="00D97D43"/>
    <w:rsid w:val="00DB3E6B"/>
    <w:rsid w:val="00DC2D2F"/>
    <w:rsid w:val="00E112F2"/>
    <w:rsid w:val="00E4421F"/>
    <w:rsid w:val="00E55F58"/>
    <w:rsid w:val="00E60587"/>
    <w:rsid w:val="00E8085E"/>
    <w:rsid w:val="00E87CBD"/>
    <w:rsid w:val="00ED6D18"/>
    <w:rsid w:val="00F16EDA"/>
    <w:rsid w:val="00F83060"/>
    <w:rsid w:val="00FB3B83"/>
    <w:rsid w:val="00FC2A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962C4"/>
  <w15:docId w15:val="{C3F34EBE-CDBF-4F78-950C-254F4A03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2DFE"/>
    <w:rPr>
      <w:sz w:val="24"/>
      <w:szCs w:val="24"/>
    </w:rPr>
  </w:style>
  <w:style w:type="paragraph" w:styleId="Nadpis1">
    <w:name w:val="heading 1"/>
    <w:basedOn w:val="Normln"/>
    <w:next w:val="Normln"/>
    <w:link w:val="Nadpis1Char"/>
    <w:qFormat/>
    <w:rsid w:val="00732DFE"/>
    <w:pPr>
      <w:keepNext/>
      <w:outlineLvl w:val="0"/>
    </w:pPr>
    <w:rPr>
      <w:b/>
      <w:bCs/>
    </w:rPr>
  </w:style>
  <w:style w:type="paragraph" w:styleId="Nadpis2">
    <w:name w:val="heading 2"/>
    <w:basedOn w:val="Normln"/>
    <w:next w:val="Normln"/>
    <w:link w:val="Nadpis2Char"/>
    <w:qFormat/>
    <w:rsid w:val="001E263C"/>
    <w:pPr>
      <w:keepNext/>
      <w:jc w:val="center"/>
      <w:outlineLvl w:val="1"/>
    </w:pPr>
    <w:rPr>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32DFE"/>
    <w:pPr>
      <w:jc w:val="both"/>
    </w:pPr>
  </w:style>
  <w:style w:type="paragraph" w:styleId="Zkladntext2">
    <w:name w:val="Body Text 2"/>
    <w:basedOn w:val="Normln"/>
    <w:rsid w:val="00732DFE"/>
    <w:pPr>
      <w:jc w:val="both"/>
    </w:pPr>
    <w:rPr>
      <w:b/>
      <w:bCs/>
      <w:i/>
      <w:iCs/>
    </w:rPr>
  </w:style>
  <w:style w:type="paragraph" w:styleId="Nzev">
    <w:name w:val="Title"/>
    <w:basedOn w:val="Normln"/>
    <w:link w:val="NzevChar"/>
    <w:qFormat/>
    <w:rsid w:val="00732DFE"/>
    <w:pPr>
      <w:jc w:val="center"/>
    </w:pPr>
    <w:rPr>
      <w:b/>
      <w:bCs/>
      <w:sz w:val="32"/>
      <w:u w:val="single"/>
    </w:rPr>
  </w:style>
  <w:style w:type="paragraph" w:styleId="Normlnweb">
    <w:name w:val="Normal (Web)"/>
    <w:basedOn w:val="Normln"/>
    <w:rsid w:val="0068112E"/>
    <w:pPr>
      <w:spacing w:before="100" w:beforeAutospacing="1" w:after="100" w:afterAutospacing="1"/>
    </w:pPr>
  </w:style>
  <w:style w:type="table" w:styleId="Mkatabulky">
    <w:name w:val="Table Grid"/>
    <w:basedOn w:val="Normlntabulka"/>
    <w:uiPriority w:val="39"/>
    <w:rsid w:val="00634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64732C"/>
    <w:pPr>
      <w:tabs>
        <w:tab w:val="center" w:pos="4536"/>
        <w:tab w:val="right" w:pos="9072"/>
      </w:tabs>
    </w:pPr>
  </w:style>
  <w:style w:type="character" w:customStyle="1" w:styleId="ZhlavChar">
    <w:name w:val="Záhlaví Char"/>
    <w:basedOn w:val="Standardnpsmoodstavce"/>
    <w:link w:val="Zhlav"/>
    <w:uiPriority w:val="99"/>
    <w:rsid w:val="0064732C"/>
    <w:rPr>
      <w:sz w:val="24"/>
      <w:szCs w:val="24"/>
    </w:rPr>
  </w:style>
  <w:style w:type="paragraph" w:styleId="Zpat">
    <w:name w:val="footer"/>
    <w:basedOn w:val="Normln"/>
    <w:link w:val="ZpatChar"/>
    <w:rsid w:val="0064732C"/>
    <w:pPr>
      <w:tabs>
        <w:tab w:val="center" w:pos="4536"/>
        <w:tab w:val="right" w:pos="9072"/>
      </w:tabs>
    </w:pPr>
  </w:style>
  <w:style w:type="character" w:customStyle="1" w:styleId="ZpatChar">
    <w:name w:val="Zápatí Char"/>
    <w:basedOn w:val="Standardnpsmoodstavce"/>
    <w:link w:val="Zpat"/>
    <w:uiPriority w:val="99"/>
    <w:rsid w:val="0064732C"/>
    <w:rPr>
      <w:sz w:val="24"/>
      <w:szCs w:val="24"/>
    </w:rPr>
  </w:style>
  <w:style w:type="paragraph" w:styleId="Textbubliny">
    <w:name w:val="Balloon Text"/>
    <w:basedOn w:val="Normln"/>
    <w:link w:val="TextbublinyChar"/>
    <w:rsid w:val="0064732C"/>
    <w:rPr>
      <w:rFonts w:ascii="Tahoma" w:hAnsi="Tahoma" w:cs="Tahoma"/>
      <w:sz w:val="16"/>
      <w:szCs w:val="16"/>
    </w:rPr>
  </w:style>
  <w:style w:type="character" w:customStyle="1" w:styleId="TextbublinyChar">
    <w:name w:val="Text bubliny Char"/>
    <w:basedOn w:val="Standardnpsmoodstavce"/>
    <w:link w:val="Textbubliny"/>
    <w:rsid w:val="0064732C"/>
    <w:rPr>
      <w:rFonts w:ascii="Tahoma" w:hAnsi="Tahoma" w:cs="Tahoma"/>
      <w:sz w:val="16"/>
      <w:szCs w:val="16"/>
    </w:rPr>
  </w:style>
  <w:style w:type="character" w:customStyle="1" w:styleId="Nadpis1Char">
    <w:name w:val="Nadpis 1 Char"/>
    <w:basedOn w:val="Standardnpsmoodstavce"/>
    <w:link w:val="Nadpis1"/>
    <w:rsid w:val="00A01EC0"/>
    <w:rPr>
      <w:b/>
      <w:bCs/>
      <w:sz w:val="24"/>
      <w:szCs w:val="24"/>
    </w:rPr>
  </w:style>
  <w:style w:type="character" w:customStyle="1" w:styleId="NzevChar">
    <w:name w:val="Název Char"/>
    <w:basedOn w:val="Standardnpsmoodstavce"/>
    <w:link w:val="Nzev"/>
    <w:rsid w:val="00A01EC0"/>
    <w:rPr>
      <w:b/>
      <w:bCs/>
      <w:sz w:val="32"/>
      <w:szCs w:val="24"/>
      <w:u w:val="single"/>
    </w:rPr>
  </w:style>
  <w:style w:type="paragraph" w:customStyle="1" w:styleId="Normal">
    <w:name w:val="[Normal]"/>
    <w:rsid w:val="0015559A"/>
    <w:pPr>
      <w:autoSpaceDE w:val="0"/>
      <w:autoSpaceDN w:val="0"/>
      <w:adjustRightInd w:val="0"/>
    </w:pPr>
    <w:rPr>
      <w:rFonts w:ascii="Arial" w:hAnsi="Arial" w:cs="Arial"/>
      <w:sz w:val="24"/>
      <w:szCs w:val="24"/>
    </w:rPr>
  </w:style>
  <w:style w:type="paragraph" w:styleId="Odstavecseseznamem">
    <w:name w:val="List Paragraph"/>
    <w:basedOn w:val="Normln"/>
    <w:uiPriority w:val="34"/>
    <w:qFormat/>
    <w:rsid w:val="00BF7386"/>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rsid w:val="00945D23"/>
    <w:rPr>
      <w:color w:val="0000FF" w:themeColor="hyperlink"/>
      <w:u w:val="single"/>
    </w:rPr>
  </w:style>
  <w:style w:type="character" w:styleId="Sledovanodkaz">
    <w:name w:val="FollowedHyperlink"/>
    <w:basedOn w:val="Standardnpsmoodstavce"/>
    <w:rsid w:val="00945D23"/>
    <w:rPr>
      <w:color w:val="800080" w:themeColor="followedHyperlink"/>
      <w:u w:val="single"/>
    </w:rPr>
  </w:style>
  <w:style w:type="character" w:customStyle="1" w:styleId="Nadpis2Char">
    <w:name w:val="Nadpis 2 Char"/>
    <w:basedOn w:val="Standardnpsmoodstavce"/>
    <w:link w:val="Nadpis2"/>
    <w:rsid w:val="001E263C"/>
    <w:rPr>
      <w:b/>
      <w:sz w:val="28"/>
    </w:rPr>
  </w:style>
  <w:style w:type="table" w:customStyle="1" w:styleId="Mkatabulky1">
    <w:name w:val="Mřížka tabulky1"/>
    <w:basedOn w:val="Normlntabulka"/>
    <w:next w:val="Mkatabulky"/>
    <w:uiPriority w:val="59"/>
    <w:rsid w:val="00577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758740">
      <w:bodyDiv w:val="1"/>
      <w:marLeft w:val="0"/>
      <w:marRight w:val="0"/>
      <w:marTop w:val="0"/>
      <w:marBottom w:val="0"/>
      <w:divBdr>
        <w:top w:val="none" w:sz="0" w:space="0" w:color="auto"/>
        <w:left w:val="none" w:sz="0" w:space="0" w:color="auto"/>
        <w:bottom w:val="none" w:sz="0" w:space="0" w:color="auto"/>
        <w:right w:val="none" w:sz="0" w:space="0" w:color="auto"/>
      </w:divBdr>
    </w:div>
    <w:div w:id="214539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AF86A-B746-4686-AC20-D958BDFD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1523</Words>
  <Characters>8991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Pokyn  ředitele školy k pořádání lyžařského kurzu</vt:lpstr>
    </vt:vector>
  </TitlesOfParts>
  <Company>ŠKOLA</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Pokyn  ředitele školy k pořádání lyžařského kurzu</dc:title>
  <dc:subject/>
  <dc:creator>Novakr</dc:creator>
  <cp:keywords>0</cp:keywords>
  <dc:description/>
  <cp:lastModifiedBy>Pavel  Pešek</cp:lastModifiedBy>
  <cp:revision>21</cp:revision>
  <cp:lastPrinted>2019-08-21T10:24:00Z</cp:lastPrinted>
  <dcterms:created xsi:type="dcterms:W3CDTF">2016-11-15T10:12:00Z</dcterms:created>
  <dcterms:modified xsi:type="dcterms:W3CDTF">2019-08-27T06:55:00Z</dcterms:modified>
</cp:coreProperties>
</file>